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21E" w14:textId="63AC2AED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B28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="00D81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B28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r w:rsidR="00D81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B28">
        <w:rPr>
          <w:rFonts w:ascii="Times New Roman" w:eastAsia="Calibri" w:hAnsi="Times New Roman" w:cs="Times New Roman"/>
          <w:b/>
          <w:sz w:val="28"/>
          <w:szCs w:val="28"/>
        </w:rPr>
        <w:t>ВОРОНЕЖСКОЙ</w:t>
      </w:r>
      <w:r w:rsidR="00D81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B28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14:paraId="168C2C7A" w14:textId="62096EF2" w:rsidR="00B57BFE" w:rsidRPr="00C37B28" w:rsidRDefault="000C4693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B2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7BFE" w:rsidRPr="00C37B28">
        <w:rPr>
          <w:rFonts w:ascii="Times New Roman" w:eastAsia="Calibri" w:hAnsi="Times New Roman" w:cs="Times New Roman"/>
          <w:b/>
          <w:sz w:val="28"/>
          <w:szCs w:val="28"/>
        </w:rPr>
        <w:t>ИНСТИТУТ</w:t>
      </w:r>
      <w:r w:rsidR="00D81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BFE" w:rsidRPr="00C37B28">
        <w:rPr>
          <w:rFonts w:ascii="Times New Roman" w:eastAsia="Calibri" w:hAnsi="Times New Roman" w:cs="Times New Roman"/>
          <w:b/>
          <w:sz w:val="28"/>
          <w:szCs w:val="28"/>
        </w:rPr>
        <w:t>СТРАТЕГИЧЕСКОГО</w:t>
      </w:r>
      <w:r w:rsidR="00D81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7BFE" w:rsidRPr="00C37B28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r w:rsidRPr="00C37B2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A92F64D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FFA15F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E723B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D12E88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2DCDD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0FF2BB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DFF83A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2B27F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67B6A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98412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C9C67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8EA9D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6D8902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E1B38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7192C" w14:textId="77777777" w:rsidR="00B57BFE" w:rsidRPr="00C37B28" w:rsidRDefault="00B57BFE" w:rsidP="00C37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ED810E" w14:textId="77777777" w:rsidR="00C37B28" w:rsidRPr="00C37B28" w:rsidRDefault="001E27B3" w:rsidP="003359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B28">
        <w:rPr>
          <w:rFonts w:ascii="Times New Roman" w:eastAsia="Calibri" w:hAnsi="Times New Roman" w:cs="Times New Roman"/>
          <w:b/>
          <w:sz w:val="28"/>
          <w:szCs w:val="28"/>
        </w:rPr>
        <w:t>ИНФОРМАЦИОННО-</w:t>
      </w:r>
      <w:r w:rsidR="00B57BFE" w:rsidRPr="00C37B28">
        <w:rPr>
          <w:rFonts w:ascii="Times New Roman" w:eastAsia="Calibri" w:hAnsi="Times New Roman" w:cs="Times New Roman"/>
          <w:b/>
          <w:sz w:val="28"/>
          <w:szCs w:val="28"/>
        </w:rPr>
        <w:t>АНАЛИТИЧЕСКИЙМАТЕРИАЛ</w:t>
      </w:r>
    </w:p>
    <w:p w14:paraId="7E7CC847" w14:textId="5EA234C9" w:rsidR="00B57BFE" w:rsidRPr="00663DBD" w:rsidRDefault="008C756A" w:rsidP="003359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A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330C7">
        <w:rPr>
          <w:rFonts w:ascii="Times New Roman" w:eastAsia="Calibri" w:hAnsi="Times New Roman" w:cs="Times New Roman"/>
          <w:b/>
          <w:sz w:val="28"/>
          <w:szCs w:val="28"/>
        </w:rPr>
        <w:t>ЭКОЛОГИЧЕСКАЯ ПОЛИТИКА ПРЕДПРИЯТИЙ В РАМКАХ ESG</w:t>
      </w:r>
      <w:r w:rsidR="005B22BF" w:rsidRPr="005B22B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1C55F7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A961C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FD7E8B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EC9A8D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F1D708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33682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EE295" w14:textId="77777777" w:rsidR="00B57BFE" w:rsidRPr="00C37B28" w:rsidRDefault="00B57BFE" w:rsidP="003359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7414D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0F246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DB5653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B8166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EFF854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672EE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3C1B7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6B7E98" w14:textId="77777777" w:rsidR="00B57BFE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E46363" w14:textId="77777777" w:rsidR="00163B61" w:rsidRPr="00C37B28" w:rsidRDefault="00163B61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5A275" w14:textId="77777777" w:rsidR="00083FBD" w:rsidRDefault="00083FBD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F64603" w14:textId="77777777" w:rsidR="00BE2244" w:rsidRDefault="00BE2244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E89CF6" w14:textId="77777777" w:rsidR="00663DBD" w:rsidRDefault="00663DBD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A41DE" w14:textId="77777777" w:rsidR="00663DBD" w:rsidRPr="00C37B28" w:rsidRDefault="00663DBD" w:rsidP="00335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D9EFA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B28">
        <w:rPr>
          <w:rFonts w:ascii="Times New Roman" w:eastAsia="Calibri" w:hAnsi="Times New Roman" w:cs="Times New Roman"/>
          <w:sz w:val="28"/>
          <w:szCs w:val="28"/>
        </w:rPr>
        <w:t>ВОРОНЕЖ</w:t>
      </w:r>
    </w:p>
    <w:p w14:paraId="4B68A64A" w14:textId="31022075" w:rsidR="00B57BFE" w:rsidRDefault="00B57BFE" w:rsidP="003359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3F60E" w14:textId="622350D9" w:rsidR="0033594C" w:rsidRDefault="0033594C" w:rsidP="003359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185E5" w14:textId="77777777" w:rsidR="0033594C" w:rsidRPr="00C37B28" w:rsidRDefault="0033594C" w:rsidP="003359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02F5D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B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FE5CB64" w14:textId="77777777" w:rsidR="00B57BFE" w:rsidRPr="00C37B28" w:rsidRDefault="00B57BFE" w:rsidP="003359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8"/>
        <w:gridCol w:w="497"/>
      </w:tblGrid>
      <w:tr w:rsidR="0033594C" w:rsidRPr="0033594C" w14:paraId="5B577C16" w14:textId="77777777" w:rsidTr="007D04A6">
        <w:tc>
          <w:tcPr>
            <w:tcW w:w="8897" w:type="dxa"/>
          </w:tcPr>
          <w:p w14:paraId="3DB8958B" w14:textId="6E5B6A60" w:rsidR="007D04A6" w:rsidRPr="00C006E1" w:rsidRDefault="0033594C" w:rsidP="007F545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bCs/>
                <w:sz w:val="28"/>
                <w:szCs w:val="28"/>
              </w:rPr>
            </w:pPr>
            <w:r w:rsidRPr="00C006E1">
              <w:rPr>
                <w:bCs/>
                <w:sz w:val="28"/>
                <w:szCs w:val="28"/>
              </w:rPr>
              <w:t>1.Общие положения</w:t>
            </w:r>
          </w:p>
        </w:tc>
        <w:tc>
          <w:tcPr>
            <w:tcW w:w="497" w:type="dxa"/>
          </w:tcPr>
          <w:p w14:paraId="6D4DC3A5" w14:textId="77777777" w:rsidR="007D04A6" w:rsidRPr="0033594C" w:rsidRDefault="007D04A6" w:rsidP="0033594C">
            <w:pPr>
              <w:pStyle w:val="a3"/>
              <w:jc w:val="center"/>
              <w:rPr>
                <w:sz w:val="28"/>
                <w:szCs w:val="28"/>
              </w:rPr>
            </w:pPr>
            <w:r w:rsidRPr="0033594C">
              <w:rPr>
                <w:sz w:val="28"/>
                <w:szCs w:val="28"/>
              </w:rPr>
              <w:t>3</w:t>
            </w:r>
          </w:p>
        </w:tc>
      </w:tr>
      <w:tr w:rsidR="0033594C" w:rsidRPr="0033594C" w14:paraId="238FC421" w14:textId="77777777" w:rsidTr="007D04A6">
        <w:tc>
          <w:tcPr>
            <w:tcW w:w="8897" w:type="dxa"/>
          </w:tcPr>
          <w:p w14:paraId="46404E9B" w14:textId="3D47290C" w:rsidR="007D04A6" w:rsidRPr="00C006E1" w:rsidRDefault="007D61C4" w:rsidP="007D61C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7D61C4">
              <w:rPr>
                <w:bCs/>
                <w:sz w:val="28"/>
                <w:szCs w:val="28"/>
              </w:rPr>
              <w:t xml:space="preserve"> Экологическая политика предприятия</w:t>
            </w:r>
          </w:p>
        </w:tc>
        <w:tc>
          <w:tcPr>
            <w:tcW w:w="497" w:type="dxa"/>
          </w:tcPr>
          <w:p w14:paraId="2C145864" w14:textId="53848C3B" w:rsidR="007D04A6" w:rsidRPr="0033594C" w:rsidRDefault="0033594C" w:rsidP="0033594C">
            <w:pPr>
              <w:pStyle w:val="a3"/>
              <w:jc w:val="center"/>
              <w:rPr>
                <w:sz w:val="28"/>
                <w:szCs w:val="28"/>
              </w:rPr>
            </w:pPr>
            <w:r w:rsidRPr="0033594C">
              <w:rPr>
                <w:sz w:val="28"/>
                <w:szCs w:val="28"/>
              </w:rPr>
              <w:t>4</w:t>
            </w:r>
          </w:p>
        </w:tc>
      </w:tr>
      <w:tr w:rsidR="0033594C" w:rsidRPr="0033594C" w14:paraId="188CDF46" w14:textId="77777777" w:rsidTr="007D04A6">
        <w:tc>
          <w:tcPr>
            <w:tcW w:w="8897" w:type="dxa"/>
          </w:tcPr>
          <w:p w14:paraId="5D63EA9F" w14:textId="28BB76E8" w:rsidR="007D04A6" w:rsidRPr="00C006E1" w:rsidRDefault="007D61C4" w:rsidP="00C006E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8C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такое ESG и зачем это нужно компаниям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97" w:type="dxa"/>
          </w:tcPr>
          <w:p w14:paraId="5D2CBE49" w14:textId="3FF157A0" w:rsidR="007D04A6" w:rsidRPr="0033594C" w:rsidRDefault="007D61C4" w:rsidP="003359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594C" w:rsidRPr="0033594C" w14:paraId="6FDB85BF" w14:textId="77777777" w:rsidTr="007D04A6">
        <w:tc>
          <w:tcPr>
            <w:tcW w:w="8897" w:type="dxa"/>
          </w:tcPr>
          <w:p w14:paraId="6F5E315B" w14:textId="5FD42645" w:rsidR="007D04A6" w:rsidRPr="007D61C4" w:rsidRDefault="007D61C4" w:rsidP="007D61C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bCs/>
                <w:sz w:val="28"/>
                <w:szCs w:val="28"/>
              </w:rPr>
            </w:pPr>
            <w:r w:rsidRPr="007D61C4">
              <w:rPr>
                <w:bCs/>
                <w:sz w:val="28"/>
                <w:szCs w:val="28"/>
              </w:rPr>
              <w:t>4. Концепция экологического менеджмента предприятия</w:t>
            </w:r>
          </w:p>
        </w:tc>
        <w:tc>
          <w:tcPr>
            <w:tcW w:w="497" w:type="dxa"/>
          </w:tcPr>
          <w:p w14:paraId="0B98615B" w14:textId="61C2ACC1" w:rsidR="007D04A6" w:rsidRPr="0033594C" w:rsidRDefault="007D61C4" w:rsidP="003359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3594C" w:rsidRPr="0033594C" w14:paraId="37D13FB6" w14:textId="77777777" w:rsidTr="007D04A6">
        <w:tc>
          <w:tcPr>
            <w:tcW w:w="8897" w:type="dxa"/>
          </w:tcPr>
          <w:p w14:paraId="53A6D83D" w14:textId="313EDDA9" w:rsidR="007D04A6" w:rsidRPr="007D61C4" w:rsidRDefault="007D61C4" w:rsidP="00C006E1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D61C4">
              <w:rPr>
                <w:b w:val="0"/>
                <w:sz w:val="28"/>
                <w:szCs w:val="28"/>
              </w:rPr>
              <w:t>5. Экологическая политика ПАО «Газпром»</w:t>
            </w:r>
          </w:p>
        </w:tc>
        <w:tc>
          <w:tcPr>
            <w:tcW w:w="497" w:type="dxa"/>
          </w:tcPr>
          <w:p w14:paraId="42C26CB5" w14:textId="1829B8DA" w:rsidR="007D04A6" w:rsidRPr="0033594C" w:rsidRDefault="00163B61" w:rsidP="0033594C">
            <w:pPr>
              <w:pStyle w:val="a3"/>
              <w:jc w:val="center"/>
              <w:rPr>
                <w:sz w:val="28"/>
                <w:szCs w:val="28"/>
              </w:rPr>
            </w:pPr>
            <w:r w:rsidRPr="0033594C">
              <w:rPr>
                <w:sz w:val="28"/>
                <w:szCs w:val="28"/>
              </w:rPr>
              <w:t>1</w:t>
            </w:r>
            <w:r w:rsidR="007D61C4">
              <w:rPr>
                <w:sz w:val="28"/>
                <w:szCs w:val="28"/>
              </w:rPr>
              <w:t>2</w:t>
            </w:r>
          </w:p>
        </w:tc>
      </w:tr>
      <w:tr w:rsidR="0033594C" w:rsidRPr="0033594C" w14:paraId="1C82CA9C" w14:textId="77777777" w:rsidTr="00CE05C5">
        <w:trPr>
          <w:trHeight w:val="316"/>
        </w:trPr>
        <w:tc>
          <w:tcPr>
            <w:tcW w:w="8897" w:type="dxa"/>
          </w:tcPr>
          <w:p w14:paraId="3932B075" w14:textId="158E3B74" w:rsidR="00163B61" w:rsidRPr="00CE05C5" w:rsidRDefault="007D61C4" w:rsidP="00CE05C5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CE05C5">
              <w:rPr>
                <w:bCs/>
                <w:sz w:val="28"/>
                <w:szCs w:val="28"/>
              </w:rPr>
              <w:t>6.</w:t>
            </w:r>
            <w:r w:rsidR="00CE05C5" w:rsidRPr="00CE05C5">
              <w:rPr>
                <w:bCs/>
                <w:sz w:val="28"/>
                <w:szCs w:val="28"/>
              </w:rPr>
              <w:t xml:space="preserve"> Экологическая политика группы компаний «Сибур»</w:t>
            </w:r>
          </w:p>
        </w:tc>
        <w:tc>
          <w:tcPr>
            <w:tcW w:w="497" w:type="dxa"/>
          </w:tcPr>
          <w:p w14:paraId="68A852F1" w14:textId="475239D0" w:rsidR="00163B61" w:rsidRPr="0033594C" w:rsidRDefault="000E0641" w:rsidP="003359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05C5">
              <w:rPr>
                <w:sz w:val="28"/>
                <w:szCs w:val="28"/>
              </w:rPr>
              <w:t>6</w:t>
            </w:r>
          </w:p>
        </w:tc>
      </w:tr>
      <w:tr w:rsidR="0033594C" w:rsidRPr="0033594C" w14:paraId="36E7AB7F" w14:textId="77777777" w:rsidTr="007D04A6">
        <w:tc>
          <w:tcPr>
            <w:tcW w:w="8897" w:type="dxa"/>
          </w:tcPr>
          <w:p w14:paraId="60A37B17" w14:textId="540B557F" w:rsidR="00163B61" w:rsidRPr="00CE05C5" w:rsidRDefault="007D61C4" w:rsidP="000E064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E05C5">
              <w:rPr>
                <w:sz w:val="28"/>
                <w:szCs w:val="28"/>
              </w:rPr>
              <w:t>7.</w:t>
            </w:r>
            <w:r w:rsidR="00CE05C5" w:rsidRPr="00CE05C5">
              <w:rPr>
                <w:sz w:val="28"/>
                <w:szCs w:val="28"/>
              </w:rPr>
              <w:t xml:space="preserve"> Экологическая политика группы компаний ПАО «Лукойл»</w:t>
            </w:r>
          </w:p>
        </w:tc>
        <w:tc>
          <w:tcPr>
            <w:tcW w:w="497" w:type="dxa"/>
          </w:tcPr>
          <w:p w14:paraId="7AB618F0" w14:textId="781893E0" w:rsidR="00163B61" w:rsidRPr="0033594C" w:rsidRDefault="000E0641" w:rsidP="003359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05C5">
              <w:rPr>
                <w:sz w:val="28"/>
                <w:szCs w:val="28"/>
              </w:rPr>
              <w:t>9</w:t>
            </w:r>
          </w:p>
        </w:tc>
      </w:tr>
      <w:tr w:rsidR="00C006E1" w:rsidRPr="0033594C" w14:paraId="720A11FA" w14:textId="77777777" w:rsidTr="007D04A6">
        <w:tc>
          <w:tcPr>
            <w:tcW w:w="8897" w:type="dxa"/>
          </w:tcPr>
          <w:p w14:paraId="574D7119" w14:textId="36135ACC" w:rsidR="00C006E1" w:rsidRPr="00CE05C5" w:rsidRDefault="00C006E1" w:rsidP="0033594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E05C5">
              <w:rPr>
                <w:sz w:val="28"/>
                <w:szCs w:val="28"/>
              </w:rPr>
              <w:t>8.</w:t>
            </w:r>
            <w:r w:rsidR="000E0641" w:rsidRPr="00CE05C5">
              <w:rPr>
                <w:sz w:val="28"/>
                <w:szCs w:val="28"/>
              </w:rPr>
              <w:t>Заключение</w:t>
            </w:r>
          </w:p>
        </w:tc>
        <w:tc>
          <w:tcPr>
            <w:tcW w:w="497" w:type="dxa"/>
          </w:tcPr>
          <w:p w14:paraId="50F8C0D2" w14:textId="5A9B6AA9" w:rsidR="00C006E1" w:rsidRPr="0033594C" w:rsidRDefault="00CE05C5" w:rsidP="003359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04A6" w14:paraId="6BEBE80C" w14:textId="77777777" w:rsidTr="007D04A6">
        <w:tc>
          <w:tcPr>
            <w:tcW w:w="8897" w:type="dxa"/>
          </w:tcPr>
          <w:p w14:paraId="70AAE7CC" w14:textId="77777777" w:rsidR="007D04A6" w:rsidRPr="007D04A6" w:rsidRDefault="007D04A6" w:rsidP="0033594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78B73F2" w14:textId="77777777" w:rsidR="007D04A6" w:rsidRPr="00264327" w:rsidRDefault="007D04A6" w:rsidP="0033594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14:paraId="54320C18" w14:textId="77777777" w:rsidR="00B57BFE" w:rsidRPr="00C37B28" w:rsidRDefault="00B57BFE" w:rsidP="0033594C">
      <w:pPr>
        <w:pStyle w:val="a3"/>
        <w:jc w:val="center"/>
        <w:rPr>
          <w:b/>
          <w:sz w:val="28"/>
          <w:szCs w:val="28"/>
        </w:rPr>
      </w:pPr>
    </w:p>
    <w:p w14:paraId="1F06D8C0" w14:textId="77777777" w:rsidR="00B57BFE" w:rsidRPr="00C37B28" w:rsidRDefault="00B57BFE" w:rsidP="0033594C">
      <w:pPr>
        <w:pStyle w:val="a3"/>
        <w:jc w:val="center"/>
        <w:rPr>
          <w:b/>
          <w:sz w:val="28"/>
          <w:szCs w:val="28"/>
        </w:rPr>
      </w:pPr>
    </w:p>
    <w:p w14:paraId="64B60408" w14:textId="77777777" w:rsidR="00B57BFE" w:rsidRPr="00C37B28" w:rsidRDefault="00B57BFE" w:rsidP="0033594C">
      <w:pPr>
        <w:pStyle w:val="a3"/>
        <w:jc w:val="center"/>
        <w:rPr>
          <w:b/>
          <w:sz w:val="28"/>
          <w:szCs w:val="28"/>
        </w:rPr>
      </w:pPr>
    </w:p>
    <w:p w14:paraId="35C58F48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97F7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0E4A1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FBEBE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55916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78791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8B911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09087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54C3C" w14:textId="77777777" w:rsidR="00B57BFE" w:rsidRPr="00C37B28" w:rsidRDefault="00B57BFE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A4E52" w14:textId="77777777" w:rsidR="00F84241" w:rsidRPr="00C37B28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B864A" w14:textId="77777777" w:rsidR="00F84241" w:rsidRPr="00C37B28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BB14E" w14:textId="77777777" w:rsidR="00F84241" w:rsidRPr="00C37B28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DD0CE" w14:textId="77777777" w:rsidR="00F84241" w:rsidRPr="00C37B28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05604" w14:textId="77777777" w:rsidR="00F84241" w:rsidRPr="00C37B28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08F92" w14:textId="35CE64C8" w:rsidR="00F84241" w:rsidRDefault="00F84241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D2765" w14:textId="0FDD2643" w:rsidR="005330C7" w:rsidRDefault="005330C7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18047" w14:textId="6472F683" w:rsidR="005330C7" w:rsidRDefault="005330C7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7EDD0" w14:textId="131AFF76" w:rsidR="005330C7" w:rsidRDefault="005330C7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2CE26" w14:textId="77777777" w:rsidR="005330C7" w:rsidRDefault="005330C7" w:rsidP="00335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FCF6" w14:textId="51AA7A86" w:rsidR="00663DBD" w:rsidRDefault="00663DBD" w:rsidP="007F545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62F49">
        <w:rPr>
          <w:b/>
          <w:bCs/>
          <w:sz w:val="28"/>
          <w:szCs w:val="28"/>
        </w:rPr>
        <w:t>Общие положения</w:t>
      </w:r>
    </w:p>
    <w:p w14:paraId="0319C169" w14:textId="77777777" w:rsidR="008C4D49" w:rsidRPr="008C4D49" w:rsidRDefault="008C4D49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49">
        <w:rPr>
          <w:sz w:val="28"/>
          <w:szCs w:val="28"/>
        </w:rPr>
        <w:t>Экологическая политика предприятия — это совокупность основных принципов, обязательств и намерений деятельности предприятия в области охраны окружающей среды и рационального использования природных ресурсов.</w:t>
      </w:r>
    </w:p>
    <w:p w14:paraId="57D09578" w14:textId="401DCEFB" w:rsidR="00F80148" w:rsidRPr="00F80148" w:rsidRDefault="00F80148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148">
        <w:rPr>
          <w:sz w:val="28"/>
          <w:szCs w:val="28"/>
        </w:rPr>
        <w:t xml:space="preserve">Большинство крупных российских компаний осознают важность расширения ESG-практик не только в отношении внешней среды, но и для своих сотрудников. Это ответ на естественную потребность профессионалов, для которых вопросы устойчивого развития — важная часть пирамиды личных потребностей. </w:t>
      </w:r>
    </w:p>
    <w:p w14:paraId="5ABE7B55" w14:textId="5EF7743C" w:rsidR="00F80148" w:rsidRDefault="00F80148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148">
        <w:rPr>
          <w:sz w:val="28"/>
          <w:szCs w:val="28"/>
        </w:rPr>
        <w:t>Такая повестка ценна еще и тем, что позволяет показывать аудитории устойчивость и уверенность в завтрашнем дне, что особенно ценно в эпоху нестабильности и перемен. В долгосрочной перспективе соблюдение ESG-принципов позволит укрепить репутацию компании и повысить стоимость бизнеса, сделав его более привлекательным для инвесторов и партнеров. </w:t>
      </w:r>
    </w:p>
    <w:p w14:paraId="563300F4" w14:textId="7DB884B3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AC7D518" w14:textId="4F46BC2E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AE0EF8" w14:textId="1B812D44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5B25621" w14:textId="659F1451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DB4995" w14:textId="51A2B105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96DE920" w14:textId="38956870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6D4552C" w14:textId="2AD45393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E96F908" w14:textId="70DC7E72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5EBD3BF" w14:textId="53273BCC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32DF327" w14:textId="34D5E42E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9F775B" w14:textId="5CB28BD7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8AB9045" w14:textId="78CA86BF" w:rsidR="008C4D49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A04BDE" w14:textId="77777777" w:rsidR="008C4D49" w:rsidRPr="00F80148" w:rsidRDefault="008C4D49" w:rsidP="00F801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AC94A08" w14:textId="77777777" w:rsidR="005330C7" w:rsidRPr="008C4D49" w:rsidRDefault="005330C7" w:rsidP="007F5459">
      <w:pPr>
        <w:pStyle w:val="1"/>
        <w:numPr>
          <w:ilvl w:val="0"/>
          <w:numId w:val="4"/>
        </w:numPr>
        <w:jc w:val="center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lastRenderedPageBreak/>
        <w:t>Экологическая политика предприятия</w:t>
      </w:r>
    </w:p>
    <w:p w14:paraId="172A041A" w14:textId="46BCD63F" w:rsidR="005330C7" w:rsidRPr="008C4D49" w:rsidRDefault="008C4D49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 xml:space="preserve"> Экологическая</w:t>
      </w:r>
      <w:r w:rsidR="005330C7" w:rsidRPr="008C4D49">
        <w:rPr>
          <w:color w:val="000000"/>
          <w:sz w:val="28"/>
          <w:szCs w:val="28"/>
        </w:rPr>
        <w:t xml:space="preserve"> политика предприятия направлена на обеспечение устойчивого состояния окружающей среды при осуществлении предприятием определенной хозяйственной деятельности.</w:t>
      </w:r>
    </w:p>
    <w:p w14:paraId="1AE8E6AE" w14:textId="2CD0BB7F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 xml:space="preserve">Следовательно, к перечню вопросов, находящихся в центре внимания организации при выработке </w:t>
      </w:r>
      <w:r w:rsidR="008C4D49" w:rsidRPr="008C4D49">
        <w:rPr>
          <w:color w:val="000000"/>
          <w:sz w:val="28"/>
          <w:szCs w:val="28"/>
        </w:rPr>
        <w:t>ее экологической политики,</w:t>
      </w:r>
      <w:r w:rsidRPr="008C4D49">
        <w:rPr>
          <w:color w:val="000000"/>
          <w:sz w:val="28"/>
          <w:szCs w:val="28"/>
        </w:rPr>
        <w:t xml:space="preserve"> относятся:</w:t>
      </w:r>
    </w:p>
    <w:p w14:paraId="73E6671E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предназначение организации, ее взгляды, основные ценности и надежды;</w:t>
      </w:r>
    </w:p>
    <w:p w14:paraId="690ED5CB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отношение организации к охране окружающей среды, ресурсосбережению и экологической безопасности;</w:t>
      </w:r>
    </w:p>
    <w:p w14:paraId="792CBC29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общие природоохранные цели организации;</w:t>
      </w:r>
    </w:p>
    <w:p w14:paraId="443B74EB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учет требований заинтересованных сторон и установление с ними связи;</w:t>
      </w:r>
    </w:p>
    <w:p w14:paraId="3801374F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приверженность концепции постоянных улучшений;</w:t>
      </w:r>
    </w:p>
    <w:p w14:paraId="21B3A6AC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обязательство по соблюдению экологических стандартов, законов, регламентов;</w:t>
      </w:r>
    </w:p>
    <w:p w14:paraId="040DC737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обязательства по проведению аудиторских проверок и оценке результативности экологических действий;</w:t>
      </w:r>
    </w:p>
    <w:p w14:paraId="1FA03B56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обязательства по взаимодействию с местными и региональными властями, учету местных и региональных условий;</w:t>
      </w:r>
    </w:p>
    <w:p w14:paraId="6111081D" w14:textId="77777777" w:rsidR="005330C7" w:rsidRPr="008C4D49" w:rsidRDefault="005330C7" w:rsidP="007F545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обязательства по обеспечению безопасных для здоровья рабочих условий труда.</w:t>
      </w:r>
    </w:p>
    <w:p w14:paraId="65713160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Таким образом, экологическая политика определяет уровень экологической ответственности и масштаб обязательств по сохранению окружающей среды, в соответствии с которыми будут оцениваться все последующие действия предприятия.</w:t>
      </w:r>
    </w:p>
    <w:p w14:paraId="42801ED8" w14:textId="4E2ECAB3" w:rsidR="005330C7" w:rsidRPr="008C4D49" w:rsidRDefault="008C4D49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 xml:space="preserve"> </w:t>
      </w:r>
      <w:r w:rsidR="005330C7" w:rsidRPr="008C4D49">
        <w:rPr>
          <w:color w:val="000000"/>
          <w:sz w:val="28"/>
          <w:szCs w:val="28"/>
        </w:rPr>
        <w:t>Цели и задачи экологической политики :</w:t>
      </w:r>
    </w:p>
    <w:p w14:paraId="482C1EAF" w14:textId="77777777" w:rsidR="005330C7" w:rsidRPr="008C4D49" w:rsidRDefault="005330C7" w:rsidP="007F545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сознательное использование в практической деятельности предприятия основ современной экологической культуры и экологической экономики, вклад в устойчивое развитие;</w:t>
      </w:r>
    </w:p>
    <w:p w14:paraId="5FA1EDB9" w14:textId="77777777" w:rsidR="005330C7" w:rsidRPr="008C4D49" w:rsidRDefault="005330C7" w:rsidP="007F545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lastRenderedPageBreak/>
        <w:t>добровольное расширение экологических обязательств предприятия;</w:t>
      </w:r>
    </w:p>
    <w:p w14:paraId="6229BD5A" w14:textId="77777777" w:rsidR="005330C7" w:rsidRPr="008C4D49" w:rsidRDefault="005330C7" w:rsidP="007F545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достижение экономической эффективности осуществляемой природоохранной деятельности;</w:t>
      </w:r>
    </w:p>
    <w:p w14:paraId="76521C27" w14:textId="77777777" w:rsidR="005330C7" w:rsidRPr="008C4D49" w:rsidRDefault="005330C7" w:rsidP="007F5459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повышение качества продукции и услуг за счет развития экологической деятельности.</w:t>
      </w:r>
    </w:p>
    <w:p w14:paraId="470F0B0A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Следует отметить, что экологическая политика должна рассматриваться как первичный двигатель процесса внедрения, развития и улучшения системы экологического менеджмента в организации.</w:t>
      </w:r>
    </w:p>
    <w:p w14:paraId="24D517B1" w14:textId="77777777" w:rsidR="008C4D49" w:rsidRDefault="008C4D49" w:rsidP="008C4D49">
      <w:pPr>
        <w:pStyle w:val="2"/>
        <w:spacing w:before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B947F3" w14:textId="27A4C9EA" w:rsidR="008C4D49" w:rsidRDefault="008C4D49" w:rsidP="008C4D49">
      <w:pPr>
        <w:pStyle w:val="2"/>
        <w:spacing w:before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2D492" w14:textId="5401D894" w:rsidR="008C4D49" w:rsidRDefault="008C4D49" w:rsidP="008C4D49"/>
    <w:p w14:paraId="65DE8333" w14:textId="245C28C6" w:rsidR="008C4D49" w:rsidRDefault="008C4D49" w:rsidP="008C4D49"/>
    <w:p w14:paraId="7E950752" w14:textId="3646DB5C" w:rsidR="008C4D49" w:rsidRDefault="008C4D49" w:rsidP="008C4D49"/>
    <w:p w14:paraId="575A3AF4" w14:textId="3B947703" w:rsidR="008C4D49" w:rsidRDefault="008C4D49" w:rsidP="008C4D49"/>
    <w:p w14:paraId="49A675CC" w14:textId="1201E66F" w:rsidR="008C4D49" w:rsidRDefault="008C4D49" w:rsidP="008C4D49"/>
    <w:p w14:paraId="6DF1E333" w14:textId="73A6022D" w:rsidR="008C4D49" w:rsidRDefault="008C4D49" w:rsidP="008C4D49"/>
    <w:p w14:paraId="42AE72DB" w14:textId="397914CD" w:rsidR="008C4D49" w:rsidRDefault="008C4D49" w:rsidP="008C4D49"/>
    <w:p w14:paraId="751FBCC2" w14:textId="5D9958D5" w:rsidR="008C4D49" w:rsidRDefault="008C4D49" w:rsidP="008C4D49"/>
    <w:p w14:paraId="5EF1D50B" w14:textId="7E86F5E3" w:rsidR="008C4D49" w:rsidRDefault="008C4D49" w:rsidP="008C4D49"/>
    <w:p w14:paraId="1A93FF13" w14:textId="3AAD4E40" w:rsidR="008C4D49" w:rsidRDefault="008C4D49" w:rsidP="008C4D49"/>
    <w:p w14:paraId="259FB8A1" w14:textId="7B7AC7FC" w:rsidR="008C4D49" w:rsidRDefault="008C4D49" w:rsidP="008C4D49"/>
    <w:p w14:paraId="30570409" w14:textId="15429FEB" w:rsidR="008C4D49" w:rsidRDefault="008C4D49" w:rsidP="008C4D49"/>
    <w:p w14:paraId="37FDBB43" w14:textId="1C05B85B" w:rsidR="008C4D49" w:rsidRDefault="008C4D49" w:rsidP="008C4D49"/>
    <w:p w14:paraId="227E4BAF" w14:textId="622A3D22" w:rsidR="008C4D49" w:rsidRDefault="008C4D49" w:rsidP="008C4D49"/>
    <w:p w14:paraId="097822E9" w14:textId="60E00B26" w:rsidR="008C4D49" w:rsidRDefault="008C4D49" w:rsidP="008C4D49"/>
    <w:p w14:paraId="0E18AE17" w14:textId="63DB5071" w:rsidR="008C4D49" w:rsidRDefault="008C4D49" w:rsidP="008C4D49"/>
    <w:p w14:paraId="6FA9DFB5" w14:textId="62F808BB" w:rsidR="008C4D49" w:rsidRDefault="008C4D49" w:rsidP="008C4D49"/>
    <w:p w14:paraId="6073D003" w14:textId="55FFFA60" w:rsidR="008C4D49" w:rsidRDefault="008C4D49" w:rsidP="008C4D49"/>
    <w:p w14:paraId="5835154E" w14:textId="077F48C7" w:rsidR="008C4D49" w:rsidRDefault="008C4D49" w:rsidP="008C4D49"/>
    <w:p w14:paraId="0AE5156C" w14:textId="77777777" w:rsidR="008C4D49" w:rsidRDefault="008C4D49" w:rsidP="008C4D49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1B7D7" w14:textId="117380CB" w:rsidR="008C4D49" w:rsidRDefault="008C4D49" w:rsidP="008C4D49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C4D49">
        <w:rPr>
          <w:rFonts w:ascii="Times New Roman" w:hAnsi="Times New Roman" w:cs="Times New Roman"/>
          <w:color w:val="000000"/>
          <w:sz w:val="28"/>
          <w:szCs w:val="28"/>
        </w:rPr>
        <w:t>Что такое ESG и зачем это нужно компаниям</w:t>
      </w:r>
    </w:p>
    <w:p w14:paraId="0040AE9A" w14:textId="77777777" w:rsidR="008C4D49" w:rsidRPr="008C4D49" w:rsidRDefault="008C4D49" w:rsidP="008C4D49"/>
    <w:p w14:paraId="51568154" w14:textId="77777777" w:rsidR="008C4D49" w:rsidRPr="008C4D49" w:rsidRDefault="008C4D49" w:rsidP="008C4D49">
      <w:pPr>
        <w:pStyle w:val="stk-reset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  <w:lang w:val="en-US"/>
        </w:rPr>
        <w:t xml:space="preserve">ESG </w:t>
      </w:r>
      <w:r w:rsidRPr="008C4D49">
        <w:rPr>
          <w:color w:val="000000"/>
          <w:sz w:val="28"/>
          <w:szCs w:val="28"/>
        </w:rPr>
        <w:t>расшифровывается</w:t>
      </w:r>
      <w:r w:rsidRPr="008C4D49">
        <w:rPr>
          <w:color w:val="000000"/>
          <w:sz w:val="28"/>
          <w:szCs w:val="28"/>
          <w:lang w:val="en-US"/>
        </w:rPr>
        <w:t xml:space="preserve"> </w:t>
      </w:r>
      <w:r w:rsidRPr="008C4D49">
        <w:rPr>
          <w:color w:val="000000"/>
          <w:sz w:val="28"/>
          <w:szCs w:val="28"/>
        </w:rPr>
        <w:t>как</w:t>
      </w:r>
      <w:r w:rsidRPr="008C4D49">
        <w:rPr>
          <w:color w:val="000000"/>
          <w:sz w:val="28"/>
          <w:szCs w:val="28"/>
          <w:lang w:val="en-US"/>
        </w:rPr>
        <w:t xml:space="preserve"> «Environment, Social, Governance». </w:t>
      </w:r>
      <w:r w:rsidRPr="008C4D49">
        <w:rPr>
          <w:color w:val="000000"/>
          <w:sz w:val="28"/>
          <w:szCs w:val="28"/>
        </w:rPr>
        <w:t>В переводе с английского — «окружающая среда, общество, управление». Это стратегия развития компании, которая предусматривает прозрачность в менеджменте, заботу об экологии и людях, с которыми соприкасается компания.</w:t>
      </w:r>
    </w:p>
    <w:p w14:paraId="7EAC65A1" w14:textId="382F8ACB" w:rsidR="008C4D49" w:rsidRPr="008C4D49" w:rsidRDefault="00CA56AB" w:rsidP="008C4D49">
      <w:pPr>
        <w:pStyle w:val="stk-reset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C4D49" w:rsidRPr="008C4D49">
        <w:rPr>
          <w:color w:val="000000"/>
          <w:sz w:val="28"/>
          <w:szCs w:val="28"/>
        </w:rPr>
        <w:t>ринципы ESG соблюдают не только большие корпорации, но и многие компании малого и среднего бизнеса.</w:t>
      </w:r>
    </w:p>
    <w:p w14:paraId="36C3C3D4" w14:textId="77777777" w:rsidR="008C4D49" w:rsidRPr="008C4D49" w:rsidRDefault="008C4D49" w:rsidP="008C4D49">
      <w:pPr>
        <w:pStyle w:val="stk-theme26309mb0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Принципам ESG следуют:</w:t>
      </w:r>
    </w:p>
    <w:p w14:paraId="0F3C7D0D" w14:textId="527B45B1" w:rsidR="008C4D49" w:rsidRPr="00CA56AB" w:rsidRDefault="008C4D49" w:rsidP="007F5459">
      <w:pPr>
        <w:pStyle w:val="stk-rese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A56AB">
        <w:rPr>
          <w:rStyle w:val="ac"/>
          <w:sz w:val="28"/>
          <w:szCs w:val="28"/>
          <w:bdr w:val="none" w:sz="0" w:space="0" w:color="auto" w:frame="1"/>
        </w:rPr>
        <w:t>Для привлечения инвестиций.</w:t>
      </w:r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ESG-рейтинги компаний уже </w:t>
      </w:r>
      <w:hyperlink r:id="rId8" w:tgtFrame="_blank" w:history="1">
        <w:r w:rsidRPr="00CA56AB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существуют</w:t>
        </w:r>
      </w:hyperlink>
      <w:r w:rsidRPr="00CA56AB">
        <w:rPr>
          <w:sz w:val="28"/>
          <w:szCs w:val="28"/>
        </w:rPr>
        <w:t> не только на</w:t>
      </w:r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Западе, но</w:t>
      </w:r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и в России. Российские банки оценивают нефинансовые кредитные риски заёмщиков. Наравне с финансовыми показателями предприятия учитываются стандарты управления бизнесом, риски загрязнения окружающей среды и выполнение социальных обязательств перед сотрудниками.</w:t>
      </w:r>
    </w:p>
    <w:p w14:paraId="1E9617D1" w14:textId="12EC6723" w:rsidR="008C4D49" w:rsidRPr="00CA56AB" w:rsidRDefault="008C4D49" w:rsidP="007F5459">
      <w:pPr>
        <w:pStyle w:val="stk-reset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A56AB">
        <w:rPr>
          <w:rStyle w:val="ac"/>
          <w:sz w:val="28"/>
          <w:szCs w:val="28"/>
          <w:bdr w:val="none" w:sz="0" w:space="0" w:color="auto" w:frame="1"/>
        </w:rPr>
        <w:t>Для реализации PR-стратегии.</w:t>
      </w:r>
      <w:r w:rsidR="00CA56AB">
        <w:rPr>
          <w:rStyle w:val="ac"/>
          <w:sz w:val="28"/>
          <w:szCs w:val="28"/>
          <w:bdr w:val="none" w:sz="0" w:space="0" w:color="auto" w:frame="1"/>
        </w:rPr>
        <w:t xml:space="preserve"> </w:t>
      </w:r>
      <w:r w:rsidRPr="00CA56AB">
        <w:rPr>
          <w:sz w:val="28"/>
          <w:szCs w:val="28"/>
        </w:rPr>
        <w:t>Хорошая ESG-кампания может стать ярким инфоповодом, грубое нарушение этих правил — причиной серьёзного PR-кризиса. Так произошло, например, с «Норникелем»: в</w:t>
      </w:r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2021</w:t>
      </w:r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году компания сначала </w:t>
      </w:r>
      <w:hyperlink r:id="rId9" w:tgtFrame="_blank" w:history="1">
        <w:r w:rsidRPr="00CA56AB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допустила</w:t>
        </w:r>
      </w:hyperlink>
      <w:r w:rsidRPr="00CA56AB">
        <w:rPr>
          <w:sz w:val="28"/>
          <w:szCs w:val="28"/>
        </w:rPr>
        <w:t> разлив топлива, а после умолчала о масштабах утечки. Из-за этого ликвидацию последствий начали на несколько дней позже, что </w:t>
      </w:r>
      <w:hyperlink r:id="rId10" w:tgtFrame="_blank" w:history="1">
        <w:r w:rsidRPr="00CA56AB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вызвало резкое недовольство</w:t>
        </w:r>
      </w:hyperlink>
      <w:r w:rsidR="00CA56AB">
        <w:rPr>
          <w:sz w:val="28"/>
          <w:szCs w:val="28"/>
        </w:rPr>
        <w:t xml:space="preserve"> </w:t>
      </w:r>
      <w:r w:rsidRPr="00CA56AB">
        <w:rPr>
          <w:sz w:val="28"/>
          <w:szCs w:val="28"/>
        </w:rPr>
        <w:t>общественности и представителей власти.</w:t>
      </w:r>
    </w:p>
    <w:p w14:paraId="028DB459" w14:textId="77777777" w:rsidR="008C4D49" w:rsidRPr="008C4D49" w:rsidRDefault="008C4D49" w:rsidP="007F5459">
      <w:pPr>
        <w:pStyle w:val="stk-rese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rStyle w:val="ac"/>
          <w:color w:val="000000"/>
          <w:sz w:val="28"/>
          <w:szCs w:val="28"/>
          <w:bdr w:val="none" w:sz="0" w:space="0" w:color="auto" w:frame="1"/>
        </w:rPr>
        <w:t>Для повышения лояльности продвинутых клиентов.</w:t>
      </w:r>
      <w:r w:rsidRPr="008C4D49">
        <w:rPr>
          <w:color w:val="000000"/>
          <w:sz w:val="28"/>
          <w:szCs w:val="28"/>
        </w:rPr>
        <w:t> ESG-стратегия — одна из составляющих современного маркетинга. Ответственный подход к экологии, например, привлекает покупателей, которые считают важной заботу об окружающей среде.</w:t>
      </w:r>
    </w:p>
    <w:p w14:paraId="114C66EB" w14:textId="77777777" w:rsidR="008C4D49" w:rsidRPr="008C4D49" w:rsidRDefault="008C4D49" w:rsidP="007F5459">
      <w:pPr>
        <w:pStyle w:val="stk-reset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rStyle w:val="ac"/>
          <w:color w:val="000000"/>
          <w:sz w:val="28"/>
          <w:szCs w:val="28"/>
          <w:bdr w:val="none" w:sz="0" w:space="0" w:color="auto" w:frame="1"/>
        </w:rPr>
        <w:t>Для развития бренда работодателя. </w:t>
      </w:r>
      <w:r w:rsidRPr="008C4D49">
        <w:rPr>
          <w:color w:val="000000"/>
          <w:sz w:val="28"/>
          <w:szCs w:val="28"/>
        </w:rPr>
        <w:t xml:space="preserve">Социальная составляющая ESG напрямую влияет на позиции компании на рынке труда. Всё просто: чем </w:t>
      </w:r>
      <w:r w:rsidRPr="008C4D49">
        <w:rPr>
          <w:color w:val="000000"/>
          <w:sz w:val="28"/>
          <w:szCs w:val="28"/>
        </w:rPr>
        <w:lastRenderedPageBreak/>
        <w:t>лучшие условия предоставляет работодатель, тем более он интересен соискателям. Именно поэтому крупные IT-компании строят большие офисы с собственными спортзалами, комфортными спальными местами и бесплатными свежевыжатыми соками для сотрудников.</w:t>
      </w:r>
    </w:p>
    <w:p w14:paraId="3B14FBC6" w14:textId="77777777" w:rsidR="008C4D49" w:rsidRPr="008C4D49" w:rsidRDefault="008C4D49" w:rsidP="008C4D49">
      <w:pPr>
        <w:pStyle w:val="2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4D49">
        <w:rPr>
          <w:rFonts w:ascii="Times New Roman" w:hAnsi="Times New Roman" w:cs="Times New Roman"/>
          <w:color w:val="000000"/>
          <w:sz w:val="28"/>
          <w:szCs w:val="28"/>
        </w:rPr>
        <w:t>Что такое принципы ESG и как они работают на практике</w:t>
      </w:r>
    </w:p>
    <w:p w14:paraId="2F0BA077" w14:textId="77777777" w:rsidR="008C4D49" w:rsidRPr="008C4D49" w:rsidRDefault="008C4D49" w:rsidP="008C4D49">
      <w:pPr>
        <w:pStyle w:val="stk-theme26309mb0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Вот как расшифровывается аббревиатура ESG:</w:t>
      </w:r>
    </w:p>
    <w:p w14:paraId="6C17BE48" w14:textId="77777777" w:rsidR="008C4D49" w:rsidRPr="008C4D49" w:rsidRDefault="008C4D49" w:rsidP="007F5459">
      <w:pPr>
        <w:pStyle w:val="stk-rese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rStyle w:val="ac"/>
          <w:color w:val="000000"/>
          <w:sz w:val="28"/>
          <w:szCs w:val="28"/>
          <w:bdr w:val="none" w:sz="0" w:space="0" w:color="auto" w:frame="1"/>
        </w:rPr>
        <w:t>Enviroment (окружающая среда).</w:t>
      </w:r>
      <w:r w:rsidRPr="008C4D49">
        <w:rPr>
          <w:color w:val="000000"/>
          <w:sz w:val="28"/>
          <w:szCs w:val="28"/>
        </w:rPr>
        <w:t> К этой части относится всё, что связано с экологией. Компании могут задуматься о безотходном производстве и раздельном сборе мусора на своей фабрике или, например, полностью отказаться от полиэтиленовых пакетов, если речь идёт о ретейле. Главная цель этих мер — сохранение или улучшение окружающей среды.</w:t>
      </w:r>
    </w:p>
    <w:p w14:paraId="65EBD42E" w14:textId="77777777" w:rsidR="008C4D49" w:rsidRPr="008C4D49" w:rsidRDefault="008C4D49" w:rsidP="007F5459">
      <w:pPr>
        <w:pStyle w:val="stk-rese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rStyle w:val="ac"/>
          <w:color w:val="000000"/>
          <w:sz w:val="28"/>
          <w:szCs w:val="28"/>
          <w:bdr w:val="none" w:sz="0" w:space="0" w:color="auto" w:frame="1"/>
        </w:rPr>
        <w:t>Social (общество). </w:t>
      </w:r>
      <w:r w:rsidRPr="008C4D49">
        <w:rPr>
          <w:color w:val="000000"/>
          <w:sz w:val="28"/>
          <w:szCs w:val="28"/>
        </w:rPr>
        <w:t>Этот принцип касается коммуникации фирмы со всеми, кто с ней взаимодействует: сотрудниками, клиентами, подрядчиками. Мерами ESG здесь могут быть премирование, медицинская страховка и, например, отсутствие переработок.</w:t>
      </w:r>
    </w:p>
    <w:p w14:paraId="2337C4A6" w14:textId="77777777" w:rsidR="008C4D49" w:rsidRPr="008C4D49" w:rsidRDefault="008C4D49" w:rsidP="007F5459">
      <w:pPr>
        <w:pStyle w:val="stk-reset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C4D49">
        <w:rPr>
          <w:rStyle w:val="ac"/>
          <w:color w:val="000000"/>
          <w:sz w:val="28"/>
          <w:szCs w:val="28"/>
          <w:bdr w:val="none" w:sz="0" w:space="0" w:color="auto" w:frame="1"/>
        </w:rPr>
        <w:t>Governance (управление).</w:t>
      </w:r>
      <w:r w:rsidRPr="008C4D49">
        <w:rPr>
          <w:color w:val="000000"/>
          <w:sz w:val="28"/>
          <w:szCs w:val="28"/>
        </w:rPr>
        <w:t> На эту составляющую смотрят инвесторы. Группу факторов, которые относятся к Governance, называют «нефинансовыми». К «нефинансовым факторам» относится прозрачность отчётности, антикоррупционная политика внутри компании и отношения с акционерами. </w:t>
      </w:r>
      <w:r w:rsidRPr="008C4D49">
        <w:rPr>
          <w:rStyle w:val="stk-reset1"/>
          <w:color w:val="000000"/>
          <w:sz w:val="28"/>
          <w:szCs w:val="28"/>
          <w:bdr w:val="none" w:sz="0" w:space="0" w:color="auto" w:frame="1"/>
        </w:rPr>
        <w:t>Многоголосые акции</w:t>
      </w:r>
      <w:r w:rsidRPr="008C4D49">
        <w:rPr>
          <w:color w:val="000000"/>
          <w:sz w:val="28"/>
          <w:szCs w:val="28"/>
        </w:rPr>
        <w:t>, например, считаются спорной практикой в контексте ESG — ведь голоса миноритариев при такой системе сильно обесцениваются.</w:t>
      </w:r>
    </w:p>
    <w:p w14:paraId="3CD9C467" w14:textId="6756993A" w:rsidR="00CA56AB" w:rsidRDefault="00CA56AB" w:rsidP="008C4D49">
      <w:pPr>
        <w:pStyle w:val="2"/>
        <w:spacing w:before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12336" w14:textId="5DF079A0" w:rsidR="00CA56AB" w:rsidRDefault="00CA56AB" w:rsidP="00CA56AB"/>
    <w:p w14:paraId="6D76D301" w14:textId="0289BA77" w:rsidR="00CA56AB" w:rsidRDefault="00CA56AB" w:rsidP="00CA56AB"/>
    <w:p w14:paraId="78C30653" w14:textId="6CD6869A" w:rsidR="00CA56AB" w:rsidRDefault="00CA56AB" w:rsidP="00CA56AB"/>
    <w:p w14:paraId="7CF6BACD" w14:textId="20694A3A" w:rsidR="00CA56AB" w:rsidRDefault="00CA56AB" w:rsidP="00CA56AB"/>
    <w:p w14:paraId="02516160" w14:textId="07114C3D" w:rsidR="00CA56AB" w:rsidRDefault="00CA56AB" w:rsidP="00CA56AB"/>
    <w:p w14:paraId="3DA661A8" w14:textId="32FD3BEB" w:rsidR="00CA56AB" w:rsidRDefault="00CA56AB" w:rsidP="00CA56AB"/>
    <w:p w14:paraId="37F08562" w14:textId="77777777" w:rsidR="00CA56AB" w:rsidRPr="00CA56AB" w:rsidRDefault="00CA56AB" w:rsidP="00CA56AB"/>
    <w:p w14:paraId="272756AD" w14:textId="2EDBAF1D" w:rsidR="005330C7" w:rsidRDefault="008C4D49" w:rsidP="008C4D49">
      <w:pPr>
        <w:pStyle w:val="2"/>
        <w:spacing w:before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F80148" w:rsidRPr="008C4D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30C7" w:rsidRPr="008C4D49">
        <w:rPr>
          <w:rFonts w:ascii="Times New Roman" w:hAnsi="Times New Roman" w:cs="Times New Roman"/>
          <w:color w:val="000000"/>
          <w:sz w:val="28"/>
          <w:szCs w:val="28"/>
        </w:rPr>
        <w:t>Концепция экологического менеджмента предприятия</w:t>
      </w:r>
    </w:p>
    <w:p w14:paraId="134071BF" w14:textId="77777777" w:rsidR="008C4D49" w:rsidRPr="008C4D49" w:rsidRDefault="008C4D49" w:rsidP="008C4D49"/>
    <w:p w14:paraId="2B34EEBC" w14:textId="031E45A3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Экологический менеджмент является частью менеджмента хозяйственной деятельности предприятия. Однако он направлен на регулирование сознательного воздействия на природные и социально-экономические процессы, а также объекты окружающей среды для удовлетворения своих потребностей при условии устойчивого развития общества и сохранения природы.</w:t>
      </w:r>
    </w:p>
    <w:p w14:paraId="28B76B81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Иными словами, </w:t>
      </w:r>
      <w:r w:rsidRPr="008C4D49">
        <w:rPr>
          <w:b/>
          <w:bCs/>
          <w:i/>
          <w:iCs/>
          <w:color w:val="000000"/>
          <w:sz w:val="28"/>
          <w:szCs w:val="28"/>
        </w:rPr>
        <w:t>экологический менеджмент</w:t>
      </w:r>
      <w:r w:rsidRPr="008C4D49">
        <w:rPr>
          <w:b/>
          <w:bCs/>
          <w:color w:val="000000"/>
          <w:sz w:val="28"/>
          <w:szCs w:val="28"/>
        </w:rPr>
        <w:t> </w:t>
      </w:r>
      <w:r w:rsidRPr="008C4D49">
        <w:rPr>
          <w:i/>
          <w:iCs/>
          <w:color w:val="000000"/>
          <w:sz w:val="28"/>
          <w:szCs w:val="28"/>
        </w:rPr>
        <w:t>(от англ. manage </w:t>
      </w:r>
      <w:r w:rsidRPr="008C4D49">
        <w:rPr>
          <w:i/>
          <w:iCs/>
          <w:color w:val="000000"/>
          <w:sz w:val="28"/>
          <w:szCs w:val="28"/>
        </w:rPr>
        <w:sym w:font="Symbol" w:char="F0BE"/>
      </w:r>
      <w:r w:rsidRPr="008C4D49">
        <w:rPr>
          <w:i/>
          <w:iCs/>
          <w:color w:val="000000"/>
          <w:sz w:val="28"/>
          <w:szCs w:val="28"/>
        </w:rPr>
        <w:t> управлять)</w:t>
      </w:r>
      <w:r w:rsidRPr="008C4D49">
        <w:rPr>
          <w:color w:val="000000"/>
          <w:sz w:val="28"/>
          <w:szCs w:val="28"/>
        </w:rPr>
        <w:t> — это специальная система управления, направленная на сохранение качества окружающей среды, обеспечение нормативно-правовых экологических параметров и основанная на концепции устойчивого развития.</w:t>
      </w:r>
    </w:p>
    <w:p w14:paraId="1FA3F919" w14:textId="28978FDC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b/>
          <w:bCs/>
          <w:i/>
          <w:iCs/>
          <w:color w:val="000000"/>
          <w:sz w:val="28"/>
          <w:szCs w:val="28"/>
        </w:rPr>
        <w:t>Задачами</w:t>
      </w:r>
      <w:r w:rsidRPr="008C4D49">
        <w:rPr>
          <w:color w:val="000000"/>
          <w:sz w:val="28"/>
          <w:szCs w:val="28"/>
        </w:rPr>
        <w:t xml:space="preserve"> экологического менеджмента предприятия являются </w:t>
      </w:r>
    </w:p>
    <w:p w14:paraId="709807A0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организация экологически безопасных производственных процессов;</w:t>
      </w:r>
    </w:p>
    <w:p w14:paraId="13697346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предупреждение негативного антропогенного воздействия на природу в процессе производства, потребления и утилизации выпускаемой продукции;</w:t>
      </w:r>
    </w:p>
    <w:p w14:paraId="4F77F881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получение максимального результата при минимальном ущербе окружающей среде;</w:t>
      </w:r>
    </w:p>
    <w:p w14:paraId="48854FEB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обновление продукции исходя из спроса и создания «зеленого» имиджа предприятия в глазах общественности;</w:t>
      </w:r>
    </w:p>
    <w:p w14:paraId="3D57C928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создание и внедрение малоотходных технологий;</w:t>
      </w:r>
    </w:p>
    <w:p w14:paraId="6BCCD4C0" w14:textId="77777777" w:rsidR="005330C7" w:rsidRPr="008C4D49" w:rsidRDefault="005330C7" w:rsidP="007F5459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стимулирование природоохранных инициатив, снижающих издержки.</w:t>
      </w:r>
    </w:p>
    <w:p w14:paraId="2C0AC60F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 xml:space="preserve">Однако следует сказать, что экологический менеджмент представляет собой не столько выполнение определенных формальных требований, сколько разнообразную активную практическую деятельность, понятную и доступную для всех специалистов и персонала предприятия в целом. К важнейшим </w:t>
      </w:r>
      <w:r w:rsidRPr="008C4D49">
        <w:rPr>
          <w:color w:val="000000"/>
          <w:sz w:val="28"/>
          <w:szCs w:val="28"/>
        </w:rPr>
        <w:lastRenderedPageBreak/>
        <w:t>направлениям практической деятельности в области экологического менеджмента, закрепленных в стандартах серии ISO 14000, относятся:</w:t>
      </w:r>
    </w:p>
    <w:p w14:paraId="345CEE1D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обоснование, демонстрация, практическое использование экологической политики и целей предприятия; публичное декларирование основных принципов, обязательств и направлений инициативной экологической деятельности; отражение в политике взаимосвязи основной производственной и экологической деятельности предприятия;</w:t>
      </w:r>
    </w:p>
    <w:p w14:paraId="6C279F01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определение для каждой из принятых целей показателей и критериев планирования деятельности и оценки достигаемых результатов;</w:t>
      </w:r>
    </w:p>
    <w:p w14:paraId="470BECB6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эффективное планирование и организация экологической деятельности в соответствии с принятыми целями и задачами; разработка конкретных мероприятий и действий для каждой из поставленных экологических целей и задач с учетом приоритета мероприятий и действий по предотвращению отрицательного воздействия на окружающую среду;</w:t>
      </w:r>
    </w:p>
    <w:p w14:paraId="2F84EBFE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вовлечение всего персонала предприятия в экологическую деятельность; рациональное и эффективное использование всех имеющихся на предприятии возможностей и средств (в первую очередь беззатратных и малозатратных) для решения экологических проблем;</w:t>
      </w:r>
    </w:p>
    <w:p w14:paraId="195E3C01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регулярные анализ и оценка достигнутых результатов деятельности; систематическое совершенствование экологической политики, целей и задач, планирования и организации деятельности в соответствии с достигнутыми результатами;</w:t>
      </w:r>
    </w:p>
    <w:p w14:paraId="4F30A5D7" w14:textId="77777777" w:rsidR="005330C7" w:rsidRPr="008C4D49" w:rsidRDefault="005330C7" w:rsidP="007F5459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подготовка и распространение инициативной экологической отчетности; представление и анализ в отчетности наряду с положительными также и отрицательных результатов деятельности.</w:t>
      </w:r>
    </w:p>
    <w:p w14:paraId="1856FAC8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Как видно во всей совокупности концептуальных положений экологического менеджмента одно из центральных мест принадлежит функциям управления. В процессе экологического менеджмента выполняются классические </w:t>
      </w:r>
      <w:r w:rsidRPr="008C4D49">
        <w:rPr>
          <w:b/>
          <w:bCs/>
          <w:i/>
          <w:iCs/>
          <w:color w:val="000000"/>
          <w:sz w:val="28"/>
          <w:szCs w:val="28"/>
        </w:rPr>
        <w:t>функци</w:t>
      </w:r>
      <w:r w:rsidRPr="008C4D49">
        <w:rPr>
          <w:b/>
          <w:bCs/>
          <w:color w:val="000000"/>
          <w:sz w:val="28"/>
          <w:szCs w:val="28"/>
        </w:rPr>
        <w:t>и</w:t>
      </w:r>
      <w:r w:rsidRPr="008C4D49">
        <w:rPr>
          <w:color w:val="000000"/>
          <w:sz w:val="28"/>
          <w:szCs w:val="28"/>
        </w:rPr>
        <w:t>: планирование, организация, контроль и мотивация.</w:t>
      </w:r>
    </w:p>
    <w:p w14:paraId="5BDF7DAE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lastRenderedPageBreak/>
        <w:t>Важнейшей функцией управления является </w:t>
      </w:r>
      <w:r w:rsidRPr="008C4D49">
        <w:rPr>
          <w:i/>
          <w:iCs/>
          <w:color w:val="000000"/>
          <w:sz w:val="28"/>
          <w:szCs w:val="28"/>
        </w:rPr>
        <w:t>планирование</w:t>
      </w:r>
      <w:r w:rsidRPr="008C4D49">
        <w:rPr>
          <w:color w:val="000000"/>
          <w:sz w:val="28"/>
          <w:szCs w:val="28"/>
        </w:rPr>
        <w:t>, как стратегическое, так и оперативное, задающее будущее целевое состояние организации и пути его достижения.</w:t>
      </w:r>
    </w:p>
    <w:p w14:paraId="27E570CD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К стратегическому планированию следует отнести разработку экологической политики предприятия, поскольку она определяет главные тенденции поведения организации. Задачей тактического планирования является разработка траектории промежуточных целей, ведущей к конечному целевому состоянию. Тактическое планирование обеспечивается путем разработки экологического плана предприятия, плана предприятия по охране окружающей среды и рациональному природопользованию, экологического паспорта предприятия. Оперативное планирование доводит целевые установки до конкретных исполнителей, эти показатели разрабатываются на основании тактических планов на срок менее года.</w:t>
      </w:r>
    </w:p>
    <w:p w14:paraId="2825343A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Система экологического менеджмента входит составной частью в общую систему управления организации. Управляющее воздействие экологической направленности должно охватывать весь персонал фирмы и практически все виды ее деятельности, включая НИОКР, производство, распределение, маркетинг и т.д. Поэтому ключевым моментом в </w:t>
      </w:r>
      <w:r w:rsidRPr="008C4D49">
        <w:rPr>
          <w:i/>
          <w:iCs/>
          <w:color w:val="000000"/>
          <w:sz w:val="28"/>
          <w:szCs w:val="28"/>
        </w:rPr>
        <w:t>организации </w:t>
      </w:r>
      <w:r w:rsidRPr="008C4D49">
        <w:rPr>
          <w:color w:val="000000"/>
          <w:sz w:val="28"/>
          <w:szCs w:val="28"/>
        </w:rPr>
        <w:t>экологической деятельности является создание адекватной системы распределения полномочий и ответственности, охватывающей высшее руководство предприятия, функциональных руководителей, практически весь персонал организации.</w:t>
      </w:r>
    </w:p>
    <w:p w14:paraId="3651610C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Правильная организация экологической деятельности на предприятии помогает и реализовать такую функцию экологического менеджмента, как </w:t>
      </w:r>
      <w:r w:rsidRPr="008C4D49">
        <w:rPr>
          <w:i/>
          <w:iCs/>
          <w:color w:val="000000"/>
          <w:sz w:val="28"/>
          <w:szCs w:val="28"/>
        </w:rPr>
        <w:t>контроль</w:t>
      </w:r>
      <w:r w:rsidRPr="008C4D49">
        <w:rPr>
          <w:color w:val="000000"/>
          <w:sz w:val="28"/>
          <w:szCs w:val="28"/>
        </w:rPr>
        <w:t>.</w:t>
      </w:r>
    </w:p>
    <w:p w14:paraId="6B04EA3D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При этом контроль на предприятии может осуществляться как до принятия каких-либо управленческих решений (т.е. проводится экологическая экспертиза), так и во время осуществления хозяйственной деятельности предприятия (производственный экологический контроль или экологический аудит).</w:t>
      </w:r>
    </w:p>
    <w:p w14:paraId="369B210B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lastRenderedPageBreak/>
        <w:t>В последнее время усиливается значимость </w:t>
      </w:r>
      <w:r w:rsidRPr="008C4D49">
        <w:rPr>
          <w:i/>
          <w:iCs/>
          <w:color w:val="000000"/>
          <w:sz w:val="28"/>
          <w:szCs w:val="28"/>
        </w:rPr>
        <w:t>мотивации </w:t>
      </w:r>
      <w:r w:rsidRPr="008C4D49">
        <w:rPr>
          <w:color w:val="000000"/>
          <w:sz w:val="28"/>
          <w:szCs w:val="28"/>
        </w:rPr>
        <w:t>в экологической деятельности сотрудников предприятия. Материальное стимулирование способствует формированию активной позиции сотрудников и их инициативным действиям в деле охраны окружающей среды. Моральное стимулирование содействует формированию экологического мировоззрения, а также помогает определить и оценить вклад каждого в обеспечение экологической безопасности.</w:t>
      </w:r>
    </w:p>
    <w:p w14:paraId="784F78A3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Следует отметить, что применение систем экологического управления позволяет приобрести следующие преимущества:</w:t>
      </w:r>
    </w:p>
    <w:p w14:paraId="1BD3F6A9" w14:textId="77777777" w:rsidR="005330C7" w:rsidRPr="008C4D49" w:rsidRDefault="005330C7" w:rsidP="007F54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систематически сокращаются производственные и эксплуатационные затраты, образуется меньше отходов, потребляется меньше энергии и ресурсов, уменьшаются затраты, связанные с воздействием предприятия на состояние окружающей среды;</w:t>
      </w:r>
    </w:p>
    <w:p w14:paraId="2DAA652C" w14:textId="77777777" w:rsidR="005330C7" w:rsidRPr="008C4D49" w:rsidRDefault="005330C7" w:rsidP="007F54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повышается конкурентоспособность предприятия на внутреннем и внешнем рынках;</w:t>
      </w:r>
    </w:p>
    <w:p w14:paraId="7CF8102A" w14:textId="77777777" w:rsidR="005330C7" w:rsidRPr="008C4D49" w:rsidRDefault="005330C7" w:rsidP="007F54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предприятию проще выполнять требования законодательства в области охраны окружающей среды;</w:t>
      </w:r>
    </w:p>
    <w:p w14:paraId="53910A87" w14:textId="77777777" w:rsidR="005330C7" w:rsidRPr="008C4D49" w:rsidRDefault="005330C7" w:rsidP="007F545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формируется более благоприятный имидж предприятия среди населения и общественности и т.п.</w:t>
      </w:r>
    </w:p>
    <w:p w14:paraId="7E4DACD7" w14:textId="77777777" w:rsidR="005330C7" w:rsidRPr="008C4D49" w:rsidRDefault="005330C7" w:rsidP="008C4D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4D49">
        <w:rPr>
          <w:color w:val="000000"/>
          <w:sz w:val="28"/>
          <w:szCs w:val="28"/>
        </w:rPr>
        <w:t>Таким образом, экологический менеджмент предприятия предусматривает формирование экологически безопасного производственно-территориального комплекса, обеспечивает оптимальное соотношение между экологическими и экономическими показателями на протяжении всего жизненного цикла как самого предприятия, так и производимой им продукции.</w:t>
      </w:r>
    </w:p>
    <w:p w14:paraId="7B6E5C8A" w14:textId="3CDA4558" w:rsidR="005330C7" w:rsidRDefault="005330C7" w:rsidP="005330C7">
      <w:pPr>
        <w:rPr>
          <w:rFonts w:ascii="Graphik" w:hAnsi="Graphik"/>
          <w:color w:val="000000"/>
          <w:sz w:val="26"/>
          <w:szCs w:val="26"/>
        </w:rPr>
      </w:pPr>
    </w:p>
    <w:p w14:paraId="1CA30FA6" w14:textId="369C0A87" w:rsidR="00CA56AB" w:rsidRDefault="00CA56AB" w:rsidP="005330C7">
      <w:pPr>
        <w:rPr>
          <w:rFonts w:ascii="Graphik" w:hAnsi="Graphik"/>
          <w:color w:val="000000"/>
          <w:sz w:val="26"/>
          <w:szCs w:val="26"/>
        </w:rPr>
      </w:pPr>
    </w:p>
    <w:p w14:paraId="1B4CB1DD" w14:textId="68503670" w:rsidR="00CA56AB" w:rsidRDefault="00CA56AB" w:rsidP="005330C7">
      <w:pPr>
        <w:rPr>
          <w:rFonts w:ascii="Graphik" w:hAnsi="Graphik"/>
          <w:color w:val="000000"/>
          <w:sz w:val="26"/>
          <w:szCs w:val="26"/>
        </w:rPr>
      </w:pPr>
    </w:p>
    <w:p w14:paraId="684547A4" w14:textId="44DA606E" w:rsidR="00CA56AB" w:rsidRDefault="00CA56AB" w:rsidP="005330C7">
      <w:pPr>
        <w:rPr>
          <w:rFonts w:ascii="Graphik" w:hAnsi="Graphik"/>
          <w:color w:val="000000"/>
          <w:sz w:val="26"/>
          <w:szCs w:val="26"/>
        </w:rPr>
      </w:pPr>
    </w:p>
    <w:p w14:paraId="08B22D7D" w14:textId="77777777" w:rsidR="00CA56AB" w:rsidRDefault="00CA56AB" w:rsidP="005330C7">
      <w:pPr>
        <w:rPr>
          <w:rFonts w:ascii="Graphik" w:hAnsi="Graphik"/>
          <w:color w:val="000000"/>
          <w:sz w:val="26"/>
          <w:szCs w:val="26"/>
        </w:rPr>
      </w:pPr>
    </w:p>
    <w:p w14:paraId="5688DFF9" w14:textId="5AB350A6" w:rsidR="002530ED" w:rsidRDefault="007D61C4" w:rsidP="007D61C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CA56AB">
        <w:rPr>
          <w:b/>
          <w:bCs/>
          <w:sz w:val="28"/>
          <w:szCs w:val="28"/>
        </w:rPr>
        <w:t xml:space="preserve">Экологическая </w:t>
      </w:r>
      <w:r w:rsidR="00080964">
        <w:rPr>
          <w:b/>
          <w:bCs/>
          <w:sz w:val="28"/>
          <w:szCs w:val="28"/>
        </w:rPr>
        <w:t>политика ПАО</w:t>
      </w:r>
      <w:r w:rsidR="00CA56AB">
        <w:rPr>
          <w:b/>
          <w:bCs/>
          <w:sz w:val="28"/>
          <w:szCs w:val="28"/>
        </w:rPr>
        <w:t xml:space="preserve"> «Газпром»</w:t>
      </w:r>
    </w:p>
    <w:p w14:paraId="2C29D8AE" w14:textId="77777777" w:rsidR="007D61C4" w:rsidRDefault="007D61C4" w:rsidP="007D61C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49570A7C" w14:textId="77777777" w:rsidR="00080964" w:rsidRPr="00080964" w:rsidRDefault="00080964" w:rsidP="009C3A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Газпром ответственно относится к сохранению благоприятной окружающей среды для нынешних и будущих поколений, снижает негативное воздействие на окружающую среду и строго соблюдает экологические нормы и требования. Газпром тесно сотрудничает в этой области с заинтересованными сторонами — жителями регионов, в которых он работает, работниками компаний Группы, государственными органами и общественными организациями.</w:t>
      </w:r>
    </w:p>
    <w:p w14:paraId="2B3A044D" w14:textId="77777777" w:rsidR="00080964" w:rsidRPr="00080964" w:rsidRDefault="00080964" w:rsidP="009C3A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Газпром руководствуется долгосрочными стратегическими целями в области ООС, среди которых:</w:t>
      </w:r>
    </w:p>
    <w:p w14:paraId="6BC3BBDC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негативного воздействия на окружающую среду;</w:t>
      </w:r>
    </w:p>
    <w:p w14:paraId="4F0AE879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ресурсосбережение и сохранение климата;</w:t>
      </w:r>
    </w:p>
    <w:p w14:paraId="7085460B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биоразнообразия;</w:t>
      </w:r>
    </w:p>
    <w:p w14:paraId="43DCF6E7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энергоэффективности производственных процессов и сокращение выбросов ПГ;</w:t>
      </w:r>
    </w:p>
    <w:p w14:paraId="0EF8CCC5" w14:textId="50A2CB2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интересов и прав </w:t>
      </w:r>
      <w:r w:rsidR="009C3AAD" w:rsidRPr="009C3AAD">
        <w:rPr>
          <w:rStyle w:val="ac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коренных малочисленных народов Севера, Сибири и Дальнего Востока Российской Федерации</w:t>
      </w:r>
      <w:r w:rsidR="009C3AAD"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AD"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традиционного образа жизни и сохранение исконной среды обитания;</w:t>
      </w:r>
    </w:p>
    <w:p w14:paraId="79D454AA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экологической компетентности персонала, рост вовлеченности работников в деятельность по сокращению экологических рисков, последовательное улучшение Системы экологического менеджмента (СЭМ) и показателей в области ООС;</w:t>
      </w:r>
    </w:p>
    <w:p w14:paraId="61C0F950" w14:textId="77777777" w:rsidR="00080964" w:rsidRPr="00080964" w:rsidRDefault="00080964" w:rsidP="007F545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 экологической информации для всех заинтересованных сторон.</w:t>
      </w:r>
    </w:p>
    <w:p w14:paraId="1BCB378D" w14:textId="600BC97E" w:rsidR="00080964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В 2023 году решением Совета директоров ПАО «Газпром» утверждена Климатическая стратегия ПАО «Газпром» до 2050 года, разработанная с учетом низко углеродного тренда мировой экономики.</w:t>
      </w:r>
    </w:p>
    <w:p w14:paraId="7B24EDAB" w14:textId="3F3DD717" w:rsidR="00080964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Компания обеспечивает наименьший углеродный след поставок энергоресурсов. Максимально эффективное использование природных </w:t>
      </w:r>
      <w:r w:rsidRPr="009C3AAD">
        <w:rPr>
          <w:sz w:val="28"/>
          <w:szCs w:val="28"/>
        </w:rPr>
        <w:lastRenderedPageBreak/>
        <w:t xml:space="preserve">ресурсов в производственной деятельности является одной из ключевых задач Газпрома. Работа по повышению энергетической эффективности за счет реализации мероприятий программ энергосбережения и повышения энергоэффективности позволила в 2023 году сэкономить более 3,7 миллиарда кубометров природного газа на собственные технологические нужды и 380 миллионов киловатт-часов электроэнергии. Системная деятельность по минимизации негативного воздействия на все компоненты окружающей среды способствует постоянному улучшению экологических показателей Группы Газпром. </w:t>
      </w:r>
    </w:p>
    <w:p w14:paraId="5CCD827A" w14:textId="6F3C9610" w:rsidR="00080964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>В 2023 году компания направила на цели охраны окружающей среды более 96 миллиардов рублей, что позволило выполнить обширный перечень мероприятий и достигнуть все Корпоративные экологические цели, установленные на 2023 год.</w:t>
      </w:r>
    </w:p>
    <w:p w14:paraId="5335D7F2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rStyle w:val="ac"/>
          <w:b w:val="0"/>
          <w:bCs w:val="0"/>
          <w:sz w:val="28"/>
          <w:szCs w:val="28"/>
          <w:shd w:val="clear" w:color="auto" w:fill="FFFFFF"/>
        </w:rPr>
        <w:t>Охрана окружающей среды</w:t>
      </w:r>
      <w:r w:rsidRPr="009C3AAD">
        <w:rPr>
          <w:sz w:val="28"/>
          <w:szCs w:val="28"/>
        </w:rPr>
        <w:t xml:space="preserve"> и рациональное использование природных ресурсов, в компаниях Группы Газпром составил 52,07 млрд руб. </w:t>
      </w:r>
    </w:p>
    <w:p w14:paraId="72734D8D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Увеличение на 8,5 % относительно 2022 г. связано со строительством объектов в Группе Газпром нефть и Газпром нефтехим Салавате, ориентированных на охрану атмосферного воздуха. Инвестиционные средства Группы Газпром в 2023 г. </w:t>
      </w:r>
      <w:r w:rsidR="009C3AAD" w:rsidRPr="009C3AAD">
        <w:rPr>
          <w:sz w:val="28"/>
          <w:szCs w:val="28"/>
        </w:rPr>
        <w:t>н</w:t>
      </w:r>
      <w:r w:rsidRPr="009C3AAD">
        <w:rPr>
          <w:sz w:val="28"/>
          <w:szCs w:val="28"/>
        </w:rPr>
        <w:t>аправлен</w:t>
      </w:r>
      <w:r w:rsidR="009C3AAD" w:rsidRPr="009C3AAD">
        <w:rPr>
          <w:sz w:val="28"/>
          <w:szCs w:val="28"/>
        </w:rPr>
        <w:t>ы:</w:t>
      </w:r>
    </w:p>
    <w:p w14:paraId="485DC719" w14:textId="7F6C2278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– на охрану атмосферного воздуха — 30 212,21 млн руб., в том числе на строительство и реконструкцию основных фондов Группы Газпром нефть — 28 255,39 млн руб.;</w:t>
      </w:r>
    </w:p>
    <w:p w14:paraId="75AFE604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– на охрану и рациональное использование водных ресурсов — 13 688,64 млн руб., из них 6 926,89 млн руб.</w:t>
      </w:r>
    </w:p>
    <w:p w14:paraId="4FF89DBF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— на строительство очистных сооружений и систем оборотного водоснабжения;</w:t>
      </w:r>
    </w:p>
    <w:p w14:paraId="1DE79253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– на охрану и рациональное использование земель </w:t>
      </w:r>
    </w:p>
    <w:p w14:paraId="1269D93E" w14:textId="77777777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>— 5 172,91 млн руб., из них на рекультивацию — 1 844,34 млн руб.;</w:t>
      </w:r>
    </w:p>
    <w:p w14:paraId="3A10D603" w14:textId="18A867F2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 – на решение иных задач было израсходовано 2 994,72 млн руб., в том числе на охрану и воспроизводство рыбных запасов — 1 245,78 млн руб.</w:t>
      </w:r>
      <w:r w:rsidR="009C3AAD" w:rsidRPr="009C3AAD">
        <w:rPr>
          <w:sz w:val="28"/>
          <w:szCs w:val="28"/>
        </w:rPr>
        <w:t>;</w:t>
      </w:r>
    </w:p>
    <w:p w14:paraId="4E65535D" w14:textId="3006DA35" w:rsidR="009C3AAD" w:rsidRPr="009C3AAD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lastRenderedPageBreak/>
        <w:t>на охрану и рациональное использование лесов — 652,26 млн руб., на установки и полигоны по утилизации, обезвреживанию и захоронению отходов</w:t>
      </w:r>
      <w:r w:rsidR="009C3AAD" w:rsidRPr="009C3AAD">
        <w:rPr>
          <w:sz w:val="28"/>
          <w:szCs w:val="28"/>
        </w:rPr>
        <w:t>;</w:t>
      </w:r>
    </w:p>
    <w:p w14:paraId="0255D1F6" w14:textId="1C18DC3C" w:rsidR="00080964" w:rsidRDefault="00080964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>— 146,29 млн руб., на прочие направления — 950,39 млн руб.</w:t>
      </w:r>
    </w:p>
    <w:p w14:paraId="00C5A645" w14:textId="47957D1A" w:rsidR="009C3AAD" w:rsidRP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C3AAD">
        <w:rPr>
          <w:i/>
          <w:iCs/>
          <w:sz w:val="28"/>
          <w:szCs w:val="28"/>
        </w:rPr>
        <w:t xml:space="preserve">Примеры деятельности ПАО «Газпром» в рамках </w:t>
      </w:r>
      <w:r w:rsidRPr="009C3AAD">
        <w:rPr>
          <w:rFonts w:eastAsia="Calibri"/>
          <w:b/>
          <w:i/>
          <w:iCs/>
          <w:sz w:val="28"/>
          <w:szCs w:val="28"/>
        </w:rPr>
        <w:t>ESG.</w:t>
      </w:r>
    </w:p>
    <w:p w14:paraId="5DD92AD9" w14:textId="427C2D0F" w:rsidR="009C3AAD" w:rsidRP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>В апреле 2023 г. ООО «Газпром нефтехим Салават» на экологическом форуме «Экология и технологии» (г. Уфа) подписало четырехстороннее соглашение по снижению выбросов. Предусмотренные соглашением мероприятия войдут в паспорт федерального проекта «Чистый воздух» национального проекта «Экология». Стороны договорились взаимодействовать при проведении мероприятий по снижению выбросов ЗВ в атмосферный воздух, установке систем автоматического контроля выбросов ЗВ в атмосферный воздух до 2025 г., развитию системы мониторинга качества атмосферного воздуха в г. Салавате. В частности, в соответствии с соглашением ООО «Газпром нефтехим Салават» должно обеспечить проведение мероприятий по снижению выбросов и достижение результата по снижению совокупного объема выбросов ЗВ в атмосферный воздух. Предприятие обязуется разработать план создания систем автоматического контроля выбросов загрязняющих веществ (САКВ) на эксплуатируемых объектах, оказывающих негативное воздействие на окружающую среду, относящихся к объектам I категории, а также представить сведения о количестве стационарных источников, планируемых к оснащению ими до 2025 г.</w:t>
      </w:r>
    </w:p>
    <w:p w14:paraId="1144AAB6" w14:textId="488F4CEF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3AAD">
        <w:rPr>
          <w:sz w:val="28"/>
          <w:szCs w:val="28"/>
        </w:rPr>
        <w:t xml:space="preserve">В 2023 г. ПАО «Газпром» и АО «СОГАЗ» заключен договор страхования ответственности за причинение вреда окружающей среде (экологические риски), жизни, здоровью и имуществу третьих лиц в отношении деятельности ПАО «Газпром» и его дочерних обществ. Объем и условия страхового покрытия в договоре сохранены без изменения. Территория осуществления застрахованной деятельности — Российская Федерация и континентальный шельф Российской Федерации. Договор страхования является добровольным </w:t>
      </w:r>
      <w:r w:rsidRPr="009C3AAD">
        <w:rPr>
          <w:sz w:val="28"/>
          <w:szCs w:val="28"/>
        </w:rPr>
        <w:lastRenderedPageBreak/>
        <w:t>и служит дополнением к договорам обязательного страхования гражданской ответственности владельца опасного объекта (согласно Федеральному закону от 27 июля 2010 г. № 225-ФЗ). Договором добровольного страхования покрывается ответственность, которая не застрахована в рамках обязательного страхования гражданской ответственности за причинение вреда в результате аварии на опасном объекте, а также ответственность за вред в результате аварии, величина ущерба от которого превышает лимиты ответственности по обязательному страхованию и/или если лимит ответственности по договорам обязательного страхования исчерпан. Выплаты АО «СОГАЗ» по договору страхования в отчетном году составили 37,15 млн руб., из них по событиям, произошедшим до 2023 г., — 37,12 млн руб.</w:t>
      </w:r>
    </w:p>
    <w:p w14:paraId="7D0213C9" w14:textId="53BE0147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B43D2FD" w14:textId="340217B7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F549F39" w14:textId="7C6D1C14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0DB2B52" w14:textId="7319AC99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AFF522F" w14:textId="7000A9F7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4856137" w14:textId="6BEF57D0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808C8C9" w14:textId="640BBB88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1263B8E" w14:textId="22C786B0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B86C815" w14:textId="5CB6A5AB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5FE7B5E" w14:textId="6ECFB4B7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154BC14" w14:textId="1AC01ED0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76AD958" w14:textId="3920DF42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D21BC18" w14:textId="5239CBBF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E4A2EDD" w14:textId="4EF48AE8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681D015" w14:textId="0D187B64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F4262EC" w14:textId="30D9EF65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3C1D2AE" w14:textId="2DBC20A6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53D4611" w14:textId="3AB5B1C6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71CA3A" w14:textId="1367EFFC" w:rsidR="009C3AAD" w:rsidRDefault="009C3AAD" w:rsidP="009C3A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AB4A820" w14:textId="4D59B922" w:rsidR="009C3AAD" w:rsidRDefault="007D61C4" w:rsidP="007D61C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="009C3AAD" w:rsidRPr="009C3AAD">
        <w:rPr>
          <w:b/>
          <w:bCs/>
          <w:sz w:val="28"/>
          <w:szCs w:val="28"/>
        </w:rPr>
        <w:t xml:space="preserve">Экологическая </w:t>
      </w:r>
      <w:r w:rsidR="007E5CC3" w:rsidRPr="009C3AAD">
        <w:rPr>
          <w:b/>
          <w:bCs/>
          <w:sz w:val="28"/>
          <w:szCs w:val="28"/>
        </w:rPr>
        <w:t xml:space="preserve">политика </w:t>
      </w:r>
      <w:r w:rsidR="007E5CC3">
        <w:rPr>
          <w:b/>
          <w:bCs/>
          <w:sz w:val="28"/>
          <w:szCs w:val="28"/>
        </w:rPr>
        <w:t>группы компаний «Сибур»</w:t>
      </w:r>
    </w:p>
    <w:p w14:paraId="2EA6AA6E" w14:textId="77777777" w:rsidR="007E5CC3" w:rsidRPr="009C3AAD" w:rsidRDefault="007E5CC3" w:rsidP="007E5CC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6E339F1" w14:textId="77777777" w:rsidR="007E5CC3" w:rsidRPr="007E5CC3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2023.СИБУР представил ключевые ESG-результаты за 2022 год и обновил стратегию в области устойчивого развития компании до 2025 года.</w:t>
      </w:r>
    </w:p>
    <w:p w14:paraId="25C5B143" w14:textId="0632C02D" w:rsidR="009C3AAD" w:rsidRPr="009C3AAD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Достигнув части целей досрочно, СИБУР принимает на себя дополнительные обязательства в области охраны окружающей среды, охраны труда и промышленной безопасности. Кроме того, компания расширит программу поддержки социальных предпринимателей в регионах присутствия и дополнительно сфокусируется на работе в области корпоративного управления.</w:t>
      </w:r>
    </w:p>
    <w:p w14:paraId="2C2E0C51" w14:textId="39005768" w:rsidR="009C3AAD" w:rsidRPr="009C3AAD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«СИБУР сохраняет свою приверженность ESG-принципам и продолжает работу по всем направлениям повестки устойчивого развития. С учетом досрочного выполнения некоторых целей, динамично меняющейся внешней среды и расширения периметра компании, было принято решение актуализировать ESG-стратегию. </w:t>
      </w:r>
    </w:p>
    <w:p w14:paraId="7D9B4302" w14:textId="77777777" w:rsidR="009C3AAD" w:rsidRPr="009C3AAD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аспекты:</w:t>
      </w:r>
    </w:p>
    <w:p w14:paraId="48669DC9" w14:textId="77777777" w:rsidR="009C3AAD" w:rsidRPr="009C3AAD" w:rsidRDefault="009C3AAD" w:rsidP="007F545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Досрочно были выполнены цели по снижению показателей экологического воздействия: удельные выбросы загрязняющих веществ по сравнению с базовым 2018 годом снижены на 9% (целевое значение до 2025 года – 5%), удельное водопотребление снижено на 14% (целевое значение до 2025 года – 5%), удельная масса загрязняющих веществ в сточных водах снижена на 55% (целевое значение до 2025 года – 40%), доля утилизации образованных отходов составила 54% (целевое значение до 2025 года – 50%). Затраты на охрану окружающей среды в 2022 году составили порядка 9 миллиардов рублей. Новые цели стратегии фиксируют дополнительные экологические эффекты, которых планируется достичь в 2023-2024 годах за счет реализации мероприятий в области повышения экологичности и эффективности производства.</w:t>
      </w:r>
    </w:p>
    <w:p w14:paraId="23BFFDD1" w14:textId="77777777" w:rsidR="009C3AAD" w:rsidRPr="009C3AAD" w:rsidRDefault="009C3AAD" w:rsidP="007F545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 xml:space="preserve">В области снижения климатического воздействия СИБУР демонстрирует последовательные действия, которые способствуют </w:t>
      </w: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lastRenderedPageBreak/>
        <w:t>выполнению целей стратегии. По сравнению с 2021 годом компания сократила удельные выбросы парниковых газов в сегменте «Газопереработка» на 20%, сегменте «Нефтехимия» на 5% и увеличила долю использования «зеленой» энергии в 6 раз. СИБУР прошел международную валидацию климатического проекта на 3 миллиона тонн СО2-экв. сокращений выбросов парниковых газов и запустил лесоклиматическую программу «Зеленая формула». Экономический эффект от проведенных в 2022 году мероприятий в области энергоэффективности составил 2,45 миллиарда рублей.</w:t>
      </w:r>
    </w:p>
    <w:p w14:paraId="1778ED95" w14:textId="77777777" w:rsidR="009C3AAD" w:rsidRPr="009C3AAD" w:rsidRDefault="009C3AAD" w:rsidP="007F545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В отчетном году СИБУР запустил на предприятии «ПОЛИЭФ» в Республике Башкортостан производство ПЭТ-гранулы с содержанием вторичного сырья под брендом Vivilen, а также солнечную электростанцию мощностью 4,9 МВт. За время работы новой линии и благодаря партнерским проектам удалось вовлечь во вторичную переработку более 187 миллионов пластиковых бутылок.</w:t>
      </w:r>
    </w:p>
    <w:p w14:paraId="153F1884" w14:textId="77777777" w:rsidR="009C3AAD" w:rsidRPr="009C3AAD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аспекты:</w:t>
      </w:r>
    </w:p>
    <w:p w14:paraId="309C39F3" w14:textId="693E81F2" w:rsidR="009C3AAD" w:rsidRPr="009C3AAD" w:rsidRDefault="009C3AAD" w:rsidP="007F54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СИБУР уделяет боль</w:t>
      </w:r>
      <w:r w:rsidR="007E5CC3" w:rsidRPr="007E5CC3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 xml:space="preserve">шое </w:t>
      </w: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внимание заботе о здоровье сотрудников, что также нашло отражение в ESG-стратегии – в документе появилась новая цель, ранее не фиксировавшаяся как отдельная задача, по ежегодному снижению временной утраты трудоспособности работников, связанной с заболеваниями, на 5%. Она включает в себя обеспечение медицинской безопасности производства, сохранение и укрепление здоровья трудовых коллективов и поддержку высоких стандартов медицинской безопасности. Затраты на охрану труда и промышленную безопасность в 2022 году составили 2,79 миллиардов рублей. </w:t>
      </w:r>
    </w:p>
    <w:p w14:paraId="7467E961" w14:textId="77777777" w:rsidR="009C3AAD" w:rsidRPr="009C3AAD" w:rsidRDefault="009C3AAD" w:rsidP="007F54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Уровень вовлеченности сотрудников в 2022 году составил 79,8%, что отвечает лучшим международным корпоративным практикам и выше средних показателей российских производственных компаний.</w:t>
      </w:r>
    </w:p>
    <w:p w14:paraId="517120BA" w14:textId="77777777" w:rsidR="009C3AAD" w:rsidRPr="009C3AAD" w:rsidRDefault="009C3AAD" w:rsidP="007F54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 xml:space="preserve">В развитие комплексной программы в области многообразия и инклюзивности (Diversity&amp;Inclusion) внедрено тематическое обучение в </w:t>
      </w: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lastRenderedPageBreak/>
        <w:t>управленческие и адаптационные программы. Доля женщин в общей численности персонала в 2022 году составила 31%.</w:t>
      </w:r>
    </w:p>
    <w:p w14:paraId="7C016E63" w14:textId="77777777" w:rsidR="009C3AAD" w:rsidRPr="009C3AAD" w:rsidRDefault="009C3AAD" w:rsidP="007F5459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Инвестиции в социальную сферу в 2022 году выросли в 1,6 раза. В 2022 году в программе «Формула хороших дел» было успешно запущено новое направление по развитию социального предпринимательства, а доля корпоративных волонтеров превысила планируемую цель и составила 27%. Среди актуализированных целей СИБУРа до 2025 года – расширить программу поддержки социальных предпринимателей в регионах присутствия и увеличить долю волонтеров до 30%, из них не менее половины – эковолонтеры.</w:t>
      </w:r>
    </w:p>
    <w:p w14:paraId="5DF4BE9B" w14:textId="77777777" w:rsidR="009C3AAD" w:rsidRPr="009C3AAD" w:rsidRDefault="009C3AAD" w:rsidP="007E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 управление</w:t>
      </w:r>
    </w:p>
    <w:p w14:paraId="114116DB" w14:textId="77777777" w:rsidR="009C3AAD" w:rsidRPr="009C3AAD" w:rsidRDefault="009C3AAD" w:rsidP="007F5459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СИБУР развивает и совершенствует корпоративное управление как важный инструмент обеспечения устойчивости компании, стремится соответствовать самым высоким требованиям в области бизнес-этики и комплаенс и ожидает соблюдения норм делового поведения от своих партнеров.</w:t>
      </w:r>
    </w:p>
    <w:p w14:paraId="09167B2C" w14:textId="327DACD2" w:rsidR="009C3AAD" w:rsidRDefault="009C3AAD" w:rsidP="007F5459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  <w:r w:rsidRPr="009C3AAD"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  <w:t>По итогам 2022 года проведено обучение ключевых контрагентов компании (более 600 сотрудников) по комплаенс-программе «Соблюдение прав человека на рабочем месте». В рамках новых целей ESG-стратегии планируется расширить распространение принципов корпоративного управления с периметра компании на цепочку поставок, в частности – свести к минимуму нарушение прав человека в этом сегменте.</w:t>
      </w:r>
    </w:p>
    <w:p w14:paraId="1A5BB1E2" w14:textId="4AC3EA6A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5904D101" w14:textId="28D2EDCE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3EF9B487" w14:textId="0C8F7DD5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77DAFF3C" w14:textId="277E9D1B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3F5DD579" w14:textId="0DD3536F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7F347FF2" w14:textId="586B8284" w:rsidR="007E5CC3" w:rsidRDefault="007E5CC3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2F7ADC05" w14:textId="17576C08" w:rsidR="005C144B" w:rsidRDefault="005C144B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0FD83BF0" w14:textId="77777777" w:rsidR="005C144B" w:rsidRPr="009C3AAD" w:rsidRDefault="005C144B" w:rsidP="007E5C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402"/>
          <w:sz w:val="28"/>
          <w:szCs w:val="28"/>
          <w:lang w:eastAsia="ru-RU"/>
        </w:rPr>
      </w:pPr>
    </w:p>
    <w:p w14:paraId="43ADC7A2" w14:textId="3B3486B1" w:rsidR="000F678E" w:rsidRDefault="007E5CC3" w:rsidP="007F545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</w:t>
      </w:r>
      <w:r w:rsidRPr="009C3AAD">
        <w:rPr>
          <w:b/>
          <w:bCs/>
          <w:sz w:val="28"/>
          <w:szCs w:val="28"/>
        </w:rPr>
        <w:t xml:space="preserve">Экологическая политика </w:t>
      </w:r>
      <w:r>
        <w:rPr>
          <w:b/>
          <w:bCs/>
          <w:sz w:val="28"/>
          <w:szCs w:val="28"/>
        </w:rPr>
        <w:t xml:space="preserve">группы </w:t>
      </w:r>
      <w:r w:rsidR="000F678E">
        <w:rPr>
          <w:b/>
          <w:bCs/>
          <w:sz w:val="28"/>
          <w:szCs w:val="28"/>
        </w:rPr>
        <w:t xml:space="preserve">компаний </w:t>
      </w:r>
      <w:r w:rsidR="000F678E" w:rsidRPr="007E5CC3">
        <w:rPr>
          <w:b/>
          <w:bCs/>
          <w:sz w:val="28"/>
          <w:szCs w:val="28"/>
        </w:rPr>
        <w:t>ПАО</w:t>
      </w:r>
      <w:r w:rsidR="000F678E">
        <w:rPr>
          <w:b/>
          <w:bCs/>
          <w:sz w:val="28"/>
          <w:szCs w:val="28"/>
        </w:rPr>
        <w:t xml:space="preserve"> «Лукойл»</w:t>
      </w:r>
    </w:p>
    <w:p w14:paraId="2C9B2F1F" w14:textId="77777777" w:rsidR="005C144B" w:rsidRDefault="005C144B" w:rsidP="007E5CC3">
      <w:pPr>
        <w:pStyle w:val="a3"/>
        <w:shd w:val="clear" w:color="auto" w:fill="FFFFFF"/>
        <w:spacing w:before="0" w:beforeAutospacing="0" w:after="375" w:afterAutospacing="0"/>
        <w:jc w:val="both"/>
        <w:rPr>
          <w:b/>
          <w:bCs/>
          <w:sz w:val="28"/>
          <w:szCs w:val="28"/>
        </w:rPr>
      </w:pPr>
    </w:p>
    <w:p w14:paraId="4B4F6705" w14:textId="597D0816" w:rsidR="00F07293" w:rsidRPr="00F07293" w:rsidRDefault="00F07293" w:rsidP="000F67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666666"/>
          <w:sz w:val="28"/>
          <w:szCs w:val="28"/>
        </w:rPr>
      </w:pPr>
      <w:r w:rsidRPr="00F07293">
        <w:rPr>
          <w:sz w:val="28"/>
          <w:szCs w:val="28"/>
        </w:rPr>
        <w:t>Публичное акционерное общество «Лукойл» - одна из крупнейших вертикально интегрированных нефтегазовых компаний в мире. На её долю приходится более 2% мировой добычи нефти и около 1% доказанных запасов углеводородов. Ежедневно продукцию Компании, энергию и тепло покупают миллионы людей более чем в 100 странах мира, улучшая качество своей жизни. Более 100 тысяч человек объединяют свои усилия и таланты, чтобы обеспечить эффективное развитие Компании и ее передовые позиции на рынке</w:t>
      </w:r>
      <w:r w:rsidRPr="00F07293">
        <w:rPr>
          <w:sz w:val="28"/>
          <w:szCs w:val="28"/>
        </w:rPr>
        <w:t>.</w:t>
      </w:r>
    </w:p>
    <w:p w14:paraId="4CF3A8A4" w14:textId="22A266D3" w:rsidR="007E5CC3" w:rsidRPr="000F678E" w:rsidRDefault="007E5CC3" w:rsidP="000F67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5CC3">
        <w:rPr>
          <w:rFonts w:ascii="Arial" w:hAnsi="Arial" w:cs="Arial"/>
          <w:color w:val="666666"/>
        </w:rPr>
        <w:t xml:space="preserve"> </w:t>
      </w:r>
      <w:r w:rsidRPr="000F678E">
        <w:rPr>
          <w:sz w:val="28"/>
          <w:szCs w:val="28"/>
        </w:rPr>
        <w:t>Группе «ЛУКОЙЛ» присвоен высший I уровень в ESG-индексе российского бизнеса, составляемого аналитиками РБК и рейтингового агентства НКР. Это подтверждает приверженность Компании лучшим практикам в экологической и социальной сферах, а также в области корпоративного управления.​</w:t>
      </w:r>
    </w:p>
    <w:p w14:paraId="02B28D9D" w14:textId="4A2BBE4F" w:rsidR="000F678E" w:rsidRDefault="007E5CC3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ESG-индекс вошло свыше 100 российских компаний из разных секторов экономики. Оценка проводилась на основе анкетирования и данных из открытых источников с учетом отраслевой специфики. В частности, анализировались такие показатели как объем инвестиций в природоохранные технологии, объем выбросов вредных веществ в окружающую среду, соблюдение норм трудового законодательства, меры социальной защиты сотрудников, возможности профессионального развития, справедливость финансового вознаграждения и другие. </w:t>
      </w:r>
    </w:p>
    <w:p w14:paraId="0B30B172" w14:textId="66142699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9A0A9" w14:textId="28354E82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1A646" w14:textId="6024851F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3F137" w14:textId="3C19CDF5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F6F6" w14:textId="045515BC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F8305" w14:textId="6CC239B8" w:rsidR="009E2E78" w:rsidRDefault="009E2E78" w:rsidP="000F67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002E2" w14:textId="77FE5DF4" w:rsidR="000F678E" w:rsidRDefault="009E2E78" w:rsidP="00884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78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="000F678E" w:rsidRPr="009E2E7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4674CA7" w14:textId="77777777" w:rsidR="008C42E2" w:rsidRPr="009E2E78" w:rsidRDefault="008C42E2" w:rsidP="00AC650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F7468" w14:textId="77777777" w:rsidR="009E2E78" w:rsidRPr="00AC6504" w:rsidRDefault="000F678E" w:rsidP="00AC6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4">
        <w:rPr>
          <w:rFonts w:ascii="Times New Roman" w:hAnsi="Times New Roman" w:cs="Times New Roman"/>
          <w:sz w:val="28"/>
          <w:szCs w:val="28"/>
        </w:rPr>
        <w:t xml:space="preserve"> ESG-трансформация российских компаний является отличным показателем подхода компаний к управлению и решению общественных проблем, связанных с окружающей средой, корпоративным управлением и социальной ответственности, таким образом компании могут создавать более высокую стоимость бизнеса для акционеров и для общества в целом.</w:t>
      </w:r>
    </w:p>
    <w:p w14:paraId="52DF996C" w14:textId="55A00A82" w:rsidR="009E2E78" w:rsidRPr="00AC6504" w:rsidRDefault="000F678E" w:rsidP="00AC6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4">
        <w:rPr>
          <w:rFonts w:ascii="Times New Roman" w:hAnsi="Times New Roman" w:cs="Times New Roman"/>
          <w:sz w:val="28"/>
          <w:szCs w:val="28"/>
        </w:rPr>
        <w:t>Наиболее активно внедряют ESG подход в бизнесе лидеры российского рынка, так как они обладают большими материальными возможностями для трансформации.</w:t>
      </w:r>
    </w:p>
    <w:p w14:paraId="4C1E06AD" w14:textId="77C0030D" w:rsidR="008C42E2" w:rsidRPr="00AC6504" w:rsidRDefault="000F678E" w:rsidP="00AC6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4">
        <w:rPr>
          <w:rFonts w:ascii="Times New Roman" w:hAnsi="Times New Roman" w:cs="Times New Roman"/>
          <w:sz w:val="28"/>
          <w:szCs w:val="28"/>
        </w:rPr>
        <w:t>Внедрение ESG принципов в бизнесе рассматривается не только со стороны положительного влияния компаний на окружающую среду, социальное развитие или корпоративное управление, но и со стороны долгосрочной стратегии развития бизнеса и получения прибыли в будущем. На ESG-трансформацию оказывает большое влияние поколения людей, которые хотят повлиять на сокращение вредного воздействия на окружающую среду, выстроить качественные отношения между бизнесом и социумом, сделать максимальную прозрачность ведения бизнеса.</w:t>
      </w:r>
    </w:p>
    <w:p w14:paraId="291706C4" w14:textId="5E1CE37E" w:rsidR="008C42E2" w:rsidRDefault="000F678E" w:rsidP="00AC6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04">
        <w:rPr>
          <w:rFonts w:ascii="Times New Roman" w:hAnsi="Times New Roman" w:cs="Times New Roman"/>
          <w:sz w:val="28"/>
          <w:szCs w:val="28"/>
        </w:rPr>
        <w:t>Трансформация идет постепенно и основывается на стратегическом планировании развития компаний. Важно отметить, что соответствие ESG принципам требует не только больших материальных вложений, но также изменений в структуре компаний. Крупные компании несут больше ответственности за изменения, так как они оказывают наибольшее воздействие на окружающую среду.</w:t>
      </w:r>
    </w:p>
    <w:p w14:paraId="6EC72B7A" w14:textId="2881ACEF" w:rsidR="00B15885" w:rsidRPr="00B15885" w:rsidRDefault="00B15885" w:rsidP="00B158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85">
        <w:rPr>
          <w:rFonts w:ascii="Times New Roman" w:hAnsi="Times New Roman" w:cs="Times New Roman"/>
          <w:sz w:val="28"/>
          <w:szCs w:val="28"/>
        </w:rPr>
        <w:t xml:space="preserve">Наибольший акцент в реализации ESG-политики в Воронежской </w:t>
      </w:r>
      <w:r w:rsidR="007D61C4" w:rsidRPr="00B15885">
        <w:rPr>
          <w:rFonts w:ascii="Times New Roman" w:hAnsi="Times New Roman" w:cs="Times New Roman"/>
          <w:sz w:val="28"/>
          <w:szCs w:val="28"/>
        </w:rPr>
        <w:t>области приходится</w:t>
      </w:r>
      <w:r w:rsidRPr="00B15885">
        <w:rPr>
          <w:rFonts w:ascii="Times New Roman" w:hAnsi="Times New Roman" w:cs="Times New Roman"/>
          <w:sz w:val="28"/>
          <w:szCs w:val="28"/>
        </w:rPr>
        <w:t xml:space="preserve"> на экологическую составляющую.</w:t>
      </w:r>
    </w:p>
    <w:p w14:paraId="69DBCF78" w14:textId="5657A9DC" w:rsidR="00B15885" w:rsidRPr="00B15885" w:rsidRDefault="00B15885" w:rsidP="00B158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85">
        <w:rPr>
          <w:rFonts w:ascii="Times New Roman" w:hAnsi="Times New Roman" w:cs="Times New Roman"/>
          <w:sz w:val="28"/>
          <w:szCs w:val="28"/>
        </w:rPr>
        <w:t>Так, в сфере экологии одним из критериев является воздействие на атмосферный воздух. Примером реализации экологической ответственности по данному критерию выделены ГК «ЭкоНива», Компания «Сибур» и</w:t>
      </w:r>
      <w:r w:rsidR="007D61C4">
        <w:rPr>
          <w:rFonts w:ascii="Times New Roman" w:hAnsi="Times New Roman" w:cs="Times New Roman"/>
          <w:sz w:val="28"/>
          <w:szCs w:val="28"/>
        </w:rPr>
        <w:t xml:space="preserve"> </w:t>
      </w:r>
      <w:r w:rsidRPr="00B15885">
        <w:rPr>
          <w:rFonts w:ascii="Times New Roman" w:hAnsi="Times New Roman" w:cs="Times New Roman"/>
          <w:sz w:val="28"/>
          <w:szCs w:val="28"/>
        </w:rPr>
        <w:t>ГК «Молвест». Особое внимание было уде</w:t>
      </w:r>
      <w:r w:rsidR="007D61C4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B15885">
        <w:rPr>
          <w:rFonts w:ascii="Times New Roman" w:hAnsi="Times New Roman" w:cs="Times New Roman"/>
          <w:sz w:val="28"/>
          <w:szCs w:val="28"/>
        </w:rPr>
        <w:t xml:space="preserve"> карбоновому полигону </w:t>
      </w:r>
      <w:r w:rsidRPr="00B15885">
        <w:rPr>
          <w:rFonts w:ascii="Times New Roman" w:hAnsi="Times New Roman" w:cs="Times New Roman"/>
          <w:sz w:val="28"/>
          <w:szCs w:val="28"/>
        </w:rPr>
        <w:lastRenderedPageBreak/>
        <w:t>площадью 56 га, где уже высажено 150 тыс. саженцев и на котором отрабатываются методики, которые позволят рассчитывать необходимую массу лесных насаждений для минимизации парникового эффекта от хозяйственной деятельности.</w:t>
      </w:r>
    </w:p>
    <w:p w14:paraId="30B31B04" w14:textId="77777777" w:rsidR="00B15885" w:rsidRPr="00B15885" w:rsidRDefault="00B15885" w:rsidP="00B158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85">
        <w:rPr>
          <w:rFonts w:ascii="Times New Roman" w:hAnsi="Times New Roman" w:cs="Times New Roman"/>
          <w:sz w:val="28"/>
          <w:szCs w:val="28"/>
        </w:rPr>
        <w:t>Важным критерием социально-ответственных компаний является такой критерий, как создание условий на территории нахождения компании.</w:t>
      </w:r>
    </w:p>
    <w:p w14:paraId="62203BEC" w14:textId="77777777" w:rsidR="00B15885" w:rsidRPr="00B15885" w:rsidRDefault="00B15885" w:rsidP="00B158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85">
        <w:rPr>
          <w:rFonts w:ascii="Times New Roman" w:hAnsi="Times New Roman" w:cs="Times New Roman"/>
          <w:sz w:val="28"/>
          <w:szCs w:val="28"/>
        </w:rPr>
        <w:t>Примером положительного взаимодействия бизнеса и власти является инициативное бюджетирование, которое регулируется госпрограммой «Содействие развитию муниципальных образований и местного самоуправления». Так были выделены ООО «Агротех-Гарант Пугачесвский» (Аннинский р-н), ГК «Агроэко» (Калачеевский р-н), ОАО «Минудобрения» (Россошанский р-н), Нововоронежская АЭС.</w:t>
      </w:r>
    </w:p>
    <w:p w14:paraId="1550523C" w14:textId="5C6A4F13" w:rsidR="00B15885" w:rsidRPr="007D61C4" w:rsidRDefault="00B15885" w:rsidP="00AC65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C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Таким образом, крайне важно </w:t>
      </w:r>
      <w:r w:rsidR="007D61C4" w:rsidRPr="007D61C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чтобы люди чувствовали заботу</w:t>
      </w:r>
      <w:r w:rsidRPr="007D61C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о своем благополучии, о среде проживания и о перспективах, которые есть с точки зрения экологии</w:t>
      </w:r>
      <w:r w:rsidR="007D61C4" w:rsidRPr="007D61C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sectPr w:rsidR="00B15885" w:rsidRPr="007D61C4" w:rsidSect="005D101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A1AA" w14:textId="77777777" w:rsidR="00F34015" w:rsidRDefault="00F34015" w:rsidP="005D101D">
      <w:pPr>
        <w:spacing w:after="0" w:line="240" w:lineRule="auto"/>
      </w:pPr>
      <w:r>
        <w:separator/>
      </w:r>
    </w:p>
  </w:endnote>
  <w:endnote w:type="continuationSeparator" w:id="0">
    <w:p w14:paraId="63AB346D" w14:textId="77777777" w:rsidR="00F34015" w:rsidRDefault="00F34015" w:rsidP="005D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10C8" w14:textId="77777777" w:rsidR="00F34015" w:rsidRDefault="00F34015" w:rsidP="005D101D">
      <w:pPr>
        <w:spacing w:after="0" w:line="240" w:lineRule="auto"/>
      </w:pPr>
      <w:r>
        <w:separator/>
      </w:r>
    </w:p>
  </w:footnote>
  <w:footnote w:type="continuationSeparator" w:id="0">
    <w:p w14:paraId="4FFE8735" w14:textId="77777777" w:rsidR="00F34015" w:rsidRDefault="00F34015" w:rsidP="005D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954327"/>
      <w:docPartObj>
        <w:docPartGallery w:val="Page Numbers (Top of Page)"/>
        <w:docPartUnique/>
      </w:docPartObj>
    </w:sdtPr>
    <w:sdtEndPr/>
    <w:sdtContent>
      <w:p w14:paraId="293D891B" w14:textId="77777777" w:rsidR="00D37247" w:rsidRDefault="00FC7A07">
        <w:pPr>
          <w:pStyle w:val="a5"/>
          <w:jc w:val="center"/>
        </w:pPr>
        <w:r>
          <w:fldChar w:fldCharType="begin"/>
        </w:r>
        <w:r w:rsidR="00F84241">
          <w:instrText>PAGE   \* MERGEFORMAT</w:instrText>
        </w:r>
        <w:r>
          <w:fldChar w:fldCharType="separate"/>
        </w:r>
        <w:r w:rsidR="000F00A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8C1A87A" w14:textId="77777777" w:rsidR="00D37247" w:rsidRDefault="00D372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BD8"/>
    <w:multiLevelType w:val="multilevel"/>
    <w:tmpl w:val="A38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C1EB1"/>
    <w:multiLevelType w:val="multilevel"/>
    <w:tmpl w:val="3C3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C6C6E"/>
    <w:multiLevelType w:val="multilevel"/>
    <w:tmpl w:val="FA1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65395"/>
    <w:multiLevelType w:val="hybridMultilevel"/>
    <w:tmpl w:val="72FE0DCA"/>
    <w:lvl w:ilvl="0" w:tplc="EFC01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34785"/>
    <w:multiLevelType w:val="multilevel"/>
    <w:tmpl w:val="1B0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B5017"/>
    <w:multiLevelType w:val="multilevel"/>
    <w:tmpl w:val="79D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0730"/>
    <w:multiLevelType w:val="multilevel"/>
    <w:tmpl w:val="BE0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22E92"/>
    <w:multiLevelType w:val="multilevel"/>
    <w:tmpl w:val="83B8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12998"/>
    <w:multiLevelType w:val="multilevel"/>
    <w:tmpl w:val="C23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21D82"/>
    <w:multiLevelType w:val="multilevel"/>
    <w:tmpl w:val="85A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1492C"/>
    <w:multiLevelType w:val="multilevel"/>
    <w:tmpl w:val="CD9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E1A64"/>
    <w:multiLevelType w:val="multilevel"/>
    <w:tmpl w:val="6D386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5728C"/>
    <w:multiLevelType w:val="hybridMultilevel"/>
    <w:tmpl w:val="AF6C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6709"/>
    <w:multiLevelType w:val="multilevel"/>
    <w:tmpl w:val="02BC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640BA"/>
    <w:multiLevelType w:val="multilevel"/>
    <w:tmpl w:val="B998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D4AA7"/>
    <w:multiLevelType w:val="hybridMultilevel"/>
    <w:tmpl w:val="BA18DB6E"/>
    <w:lvl w:ilvl="0" w:tplc="F3D0F90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4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F7"/>
    <w:rsid w:val="00004C8D"/>
    <w:rsid w:val="00010356"/>
    <w:rsid w:val="0001450D"/>
    <w:rsid w:val="00026EEA"/>
    <w:rsid w:val="00046E7B"/>
    <w:rsid w:val="00051A19"/>
    <w:rsid w:val="0007118E"/>
    <w:rsid w:val="00080964"/>
    <w:rsid w:val="00081C2C"/>
    <w:rsid w:val="00083FBD"/>
    <w:rsid w:val="0009134D"/>
    <w:rsid w:val="00091D3D"/>
    <w:rsid w:val="000A03F0"/>
    <w:rsid w:val="000A1139"/>
    <w:rsid w:val="000A5E85"/>
    <w:rsid w:val="000A6369"/>
    <w:rsid w:val="000B10B9"/>
    <w:rsid w:val="000B7533"/>
    <w:rsid w:val="000C0F80"/>
    <w:rsid w:val="000C4693"/>
    <w:rsid w:val="000C5DB1"/>
    <w:rsid w:val="000D2A6A"/>
    <w:rsid w:val="000E0641"/>
    <w:rsid w:val="000F00AE"/>
    <w:rsid w:val="000F678E"/>
    <w:rsid w:val="0010087B"/>
    <w:rsid w:val="0011660C"/>
    <w:rsid w:val="00117BF8"/>
    <w:rsid w:val="001264E3"/>
    <w:rsid w:val="0013014B"/>
    <w:rsid w:val="001359F6"/>
    <w:rsid w:val="00146160"/>
    <w:rsid w:val="001472CC"/>
    <w:rsid w:val="00150F7B"/>
    <w:rsid w:val="001563DC"/>
    <w:rsid w:val="00163A40"/>
    <w:rsid w:val="00163B61"/>
    <w:rsid w:val="001753F7"/>
    <w:rsid w:val="0018578F"/>
    <w:rsid w:val="001A0D38"/>
    <w:rsid w:val="001C2DD9"/>
    <w:rsid w:val="001D3DF2"/>
    <w:rsid w:val="001E27B3"/>
    <w:rsid w:val="001E51E4"/>
    <w:rsid w:val="00215F47"/>
    <w:rsid w:val="00216838"/>
    <w:rsid w:val="00233D85"/>
    <w:rsid w:val="002344E1"/>
    <w:rsid w:val="002466AA"/>
    <w:rsid w:val="002530ED"/>
    <w:rsid w:val="002824CA"/>
    <w:rsid w:val="0029411C"/>
    <w:rsid w:val="002A4071"/>
    <w:rsid w:val="002B10E2"/>
    <w:rsid w:val="002D20CF"/>
    <w:rsid w:val="002D4C33"/>
    <w:rsid w:val="00302082"/>
    <w:rsid w:val="00314395"/>
    <w:rsid w:val="0033594C"/>
    <w:rsid w:val="0035024C"/>
    <w:rsid w:val="00351D31"/>
    <w:rsid w:val="0036158A"/>
    <w:rsid w:val="00361C3B"/>
    <w:rsid w:val="00362F49"/>
    <w:rsid w:val="00373D69"/>
    <w:rsid w:val="00381690"/>
    <w:rsid w:val="00391105"/>
    <w:rsid w:val="00391A65"/>
    <w:rsid w:val="00393984"/>
    <w:rsid w:val="003A3C52"/>
    <w:rsid w:val="003C5B69"/>
    <w:rsid w:val="003D1649"/>
    <w:rsid w:val="003D1689"/>
    <w:rsid w:val="003D7A64"/>
    <w:rsid w:val="003E15F3"/>
    <w:rsid w:val="003F0625"/>
    <w:rsid w:val="003F651D"/>
    <w:rsid w:val="00401D9C"/>
    <w:rsid w:val="004030CF"/>
    <w:rsid w:val="00405345"/>
    <w:rsid w:val="00405408"/>
    <w:rsid w:val="00420CD2"/>
    <w:rsid w:val="004228DF"/>
    <w:rsid w:val="00432F8C"/>
    <w:rsid w:val="00481492"/>
    <w:rsid w:val="00484975"/>
    <w:rsid w:val="004856A9"/>
    <w:rsid w:val="00495447"/>
    <w:rsid w:val="004C2BDE"/>
    <w:rsid w:val="004D0C60"/>
    <w:rsid w:val="004D35C0"/>
    <w:rsid w:val="00507616"/>
    <w:rsid w:val="005330C7"/>
    <w:rsid w:val="00540243"/>
    <w:rsid w:val="0055333E"/>
    <w:rsid w:val="005A045E"/>
    <w:rsid w:val="005A4C0F"/>
    <w:rsid w:val="005B22BF"/>
    <w:rsid w:val="005B6C7D"/>
    <w:rsid w:val="005C144B"/>
    <w:rsid w:val="005C4248"/>
    <w:rsid w:val="005D101D"/>
    <w:rsid w:val="005D47E6"/>
    <w:rsid w:val="005E55CB"/>
    <w:rsid w:val="005E5703"/>
    <w:rsid w:val="005E6DC6"/>
    <w:rsid w:val="006032F9"/>
    <w:rsid w:val="00616B8C"/>
    <w:rsid w:val="00624B9B"/>
    <w:rsid w:val="00643052"/>
    <w:rsid w:val="00644236"/>
    <w:rsid w:val="0065038F"/>
    <w:rsid w:val="00654245"/>
    <w:rsid w:val="00663DBD"/>
    <w:rsid w:val="00670A1E"/>
    <w:rsid w:val="006768C5"/>
    <w:rsid w:val="00682824"/>
    <w:rsid w:val="00691095"/>
    <w:rsid w:val="006A16E0"/>
    <w:rsid w:val="006B7916"/>
    <w:rsid w:val="006D2522"/>
    <w:rsid w:val="006E0986"/>
    <w:rsid w:val="006E1CEF"/>
    <w:rsid w:val="006F0219"/>
    <w:rsid w:val="006F74C5"/>
    <w:rsid w:val="00710C9F"/>
    <w:rsid w:val="007146AC"/>
    <w:rsid w:val="00723DFF"/>
    <w:rsid w:val="00727CB0"/>
    <w:rsid w:val="00731E0C"/>
    <w:rsid w:val="00736E22"/>
    <w:rsid w:val="00736F7C"/>
    <w:rsid w:val="00750FE8"/>
    <w:rsid w:val="00780560"/>
    <w:rsid w:val="00793AA0"/>
    <w:rsid w:val="00795D71"/>
    <w:rsid w:val="007C6637"/>
    <w:rsid w:val="007D04A6"/>
    <w:rsid w:val="007D61C4"/>
    <w:rsid w:val="007E3706"/>
    <w:rsid w:val="007E5CC3"/>
    <w:rsid w:val="007F5459"/>
    <w:rsid w:val="00802F65"/>
    <w:rsid w:val="00813674"/>
    <w:rsid w:val="00814AD5"/>
    <w:rsid w:val="0083489E"/>
    <w:rsid w:val="0083630B"/>
    <w:rsid w:val="00850E05"/>
    <w:rsid w:val="00866374"/>
    <w:rsid w:val="008751F8"/>
    <w:rsid w:val="008849DD"/>
    <w:rsid w:val="00894701"/>
    <w:rsid w:val="008C42E2"/>
    <w:rsid w:val="008C4D49"/>
    <w:rsid w:val="008C756A"/>
    <w:rsid w:val="008E51B8"/>
    <w:rsid w:val="0091009D"/>
    <w:rsid w:val="00910BFE"/>
    <w:rsid w:val="009173F0"/>
    <w:rsid w:val="0092581D"/>
    <w:rsid w:val="0094003A"/>
    <w:rsid w:val="0094385E"/>
    <w:rsid w:val="009621E6"/>
    <w:rsid w:val="0096393D"/>
    <w:rsid w:val="009663F8"/>
    <w:rsid w:val="00966B0C"/>
    <w:rsid w:val="009960F9"/>
    <w:rsid w:val="009A753A"/>
    <w:rsid w:val="009C3AAD"/>
    <w:rsid w:val="009E2554"/>
    <w:rsid w:val="009E2E78"/>
    <w:rsid w:val="009F5B34"/>
    <w:rsid w:val="009F72B7"/>
    <w:rsid w:val="00A1107D"/>
    <w:rsid w:val="00A14986"/>
    <w:rsid w:val="00A3527E"/>
    <w:rsid w:val="00A525EF"/>
    <w:rsid w:val="00A6231B"/>
    <w:rsid w:val="00A63680"/>
    <w:rsid w:val="00A6676B"/>
    <w:rsid w:val="00A744B1"/>
    <w:rsid w:val="00A76B4A"/>
    <w:rsid w:val="00A824F7"/>
    <w:rsid w:val="00A8666A"/>
    <w:rsid w:val="00AA09D2"/>
    <w:rsid w:val="00AA31AC"/>
    <w:rsid w:val="00AB4623"/>
    <w:rsid w:val="00AB6353"/>
    <w:rsid w:val="00AC2F72"/>
    <w:rsid w:val="00AC6504"/>
    <w:rsid w:val="00AC6AFF"/>
    <w:rsid w:val="00AD2FF8"/>
    <w:rsid w:val="00AE2A5F"/>
    <w:rsid w:val="00AE7DCB"/>
    <w:rsid w:val="00AF2937"/>
    <w:rsid w:val="00B06A41"/>
    <w:rsid w:val="00B12FDD"/>
    <w:rsid w:val="00B15885"/>
    <w:rsid w:val="00B30E54"/>
    <w:rsid w:val="00B527E2"/>
    <w:rsid w:val="00B5679C"/>
    <w:rsid w:val="00B57972"/>
    <w:rsid w:val="00B57BFE"/>
    <w:rsid w:val="00B62A5F"/>
    <w:rsid w:val="00B6430B"/>
    <w:rsid w:val="00B70CA5"/>
    <w:rsid w:val="00B77705"/>
    <w:rsid w:val="00B80EB9"/>
    <w:rsid w:val="00B833DA"/>
    <w:rsid w:val="00B86FF8"/>
    <w:rsid w:val="00BA6B2B"/>
    <w:rsid w:val="00BC2CFF"/>
    <w:rsid w:val="00BC5CE8"/>
    <w:rsid w:val="00BD0EF7"/>
    <w:rsid w:val="00BD7465"/>
    <w:rsid w:val="00BE2244"/>
    <w:rsid w:val="00BE39A6"/>
    <w:rsid w:val="00BF096F"/>
    <w:rsid w:val="00BF51C4"/>
    <w:rsid w:val="00C006E1"/>
    <w:rsid w:val="00C05674"/>
    <w:rsid w:val="00C07306"/>
    <w:rsid w:val="00C210D7"/>
    <w:rsid w:val="00C22113"/>
    <w:rsid w:val="00C37B28"/>
    <w:rsid w:val="00C42677"/>
    <w:rsid w:val="00C832FE"/>
    <w:rsid w:val="00C8453D"/>
    <w:rsid w:val="00C8702E"/>
    <w:rsid w:val="00CA56AB"/>
    <w:rsid w:val="00CB7F2B"/>
    <w:rsid w:val="00CC0A7F"/>
    <w:rsid w:val="00CC5605"/>
    <w:rsid w:val="00CE05C5"/>
    <w:rsid w:val="00CE6193"/>
    <w:rsid w:val="00CF536E"/>
    <w:rsid w:val="00D12227"/>
    <w:rsid w:val="00D234F0"/>
    <w:rsid w:val="00D2351E"/>
    <w:rsid w:val="00D2480E"/>
    <w:rsid w:val="00D25E97"/>
    <w:rsid w:val="00D34899"/>
    <w:rsid w:val="00D37124"/>
    <w:rsid w:val="00D37247"/>
    <w:rsid w:val="00D41CD0"/>
    <w:rsid w:val="00D57AE6"/>
    <w:rsid w:val="00D72B69"/>
    <w:rsid w:val="00D813FA"/>
    <w:rsid w:val="00D8714C"/>
    <w:rsid w:val="00D96744"/>
    <w:rsid w:val="00DA047B"/>
    <w:rsid w:val="00DA5F8C"/>
    <w:rsid w:val="00DB00D4"/>
    <w:rsid w:val="00DB08AB"/>
    <w:rsid w:val="00DB2974"/>
    <w:rsid w:val="00E2122F"/>
    <w:rsid w:val="00E31DC4"/>
    <w:rsid w:val="00E5487E"/>
    <w:rsid w:val="00E54CA8"/>
    <w:rsid w:val="00E6308E"/>
    <w:rsid w:val="00E66A43"/>
    <w:rsid w:val="00E7188C"/>
    <w:rsid w:val="00E73D1E"/>
    <w:rsid w:val="00E7742B"/>
    <w:rsid w:val="00E82A92"/>
    <w:rsid w:val="00E83B4F"/>
    <w:rsid w:val="00E86E4E"/>
    <w:rsid w:val="00E941CD"/>
    <w:rsid w:val="00EA7B30"/>
    <w:rsid w:val="00EA7F85"/>
    <w:rsid w:val="00EC25AC"/>
    <w:rsid w:val="00EC7C9E"/>
    <w:rsid w:val="00EE7390"/>
    <w:rsid w:val="00EF1E7E"/>
    <w:rsid w:val="00F07293"/>
    <w:rsid w:val="00F114A2"/>
    <w:rsid w:val="00F13028"/>
    <w:rsid w:val="00F155DD"/>
    <w:rsid w:val="00F27DED"/>
    <w:rsid w:val="00F34015"/>
    <w:rsid w:val="00F36CAE"/>
    <w:rsid w:val="00F417AA"/>
    <w:rsid w:val="00F64C9E"/>
    <w:rsid w:val="00F74D82"/>
    <w:rsid w:val="00F80148"/>
    <w:rsid w:val="00F81389"/>
    <w:rsid w:val="00F84241"/>
    <w:rsid w:val="00F84A4A"/>
    <w:rsid w:val="00F91A8C"/>
    <w:rsid w:val="00F940EA"/>
    <w:rsid w:val="00FB5668"/>
    <w:rsid w:val="00FC4936"/>
    <w:rsid w:val="00FC7A07"/>
    <w:rsid w:val="00FE76F1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0498"/>
  <w15:docId w15:val="{E3F3A362-66DA-432A-AAB4-50817D3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F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A5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7BF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01D"/>
  </w:style>
  <w:style w:type="paragraph" w:styleId="a7">
    <w:name w:val="footer"/>
    <w:basedOn w:val="a"/>
    <w:link w:val="a8"/>
    <w:uiPriority w:val="99"/>
    <w:unhideWhenUsed/>
    <w:rsid w:val="005D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01D"/>
  </w:style>
  <w:style w:type="character" w:customStyle="1" w:styleId="10">
    <w:name w:val="Заголовок 1 Знак"/>
    <w:basedOn w:val="a0"/>
    <w:link w:val="1"/>
    <w:uiPriority w:val="9"/>
    <w:rsid w:val="000A5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E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5E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0A5E85"/>
    <w:rPr>
      <w:b/>
      <w:bCs/>
    </w:rPr>
  </w:style>
  <w:style w:type="character" w:styleId="ad">
    <w:name w:val="Emphasis"/>
    <w:basedOn w:val="a0"/>
    <w:uiPriority w:val="20"/>
    <w:qFormat/>
    <w:rsid w:val="00004C8D"/>
    <w:rPr>
      <w:i/>
      <w:iCs/>
    </w:rPr>
  </w:style>
  <w:style w:type="paragraph" w:styleId="ae">
    <w:name w:val="List Paragraph"/>
    <w:basedOn w:val="a"/>
    <w:uiPriority w:val="34"/>
    <w:qFormat/>
    <w:rsid w:val="00D248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-user-info">
    <w:name w:val="tm-user-info"/>
    <w:basedOn w:val="a0"/>
    <w:rsid w:val="00EA7F85"/>
  </w:style>
  <w:style w:type="character" w:customStyle="1" w:styleId="tm-article-datetime-published">
    <w:name w:val="tm-article-datetime-published"/>
    <w:basedOn w:val="a0"/>
    <w:rsid w:val="00EA7F85"/>
  </w:style>
  <w:style w:type="character" w:customStyle="1" w:styleId="tm-article-reading-timelabel">
    <w:name w:val="tm-article-reading-time__label"/>
    <w:basedOn w:val="a0"/>
    <w:rsid w:val="00EA7F85"/>
  </w:style>
  <w:style w:type="character" w:customStyle="1" w:styleId="tm-icon-countervalue">
    <w:name w:val="tm-icon-counter__value"/>
    <w:basedOn w:val="a0"/>
    <w:rsid w:val="00EA7F85"/>
  </w:style>
  <w:style w:type="character" w:customStyle="1" w:styleId="tm-article-snippetprofiled-hub">
    <w:name w:val="tm-article-snippet__profiled-hub"/>
    <w:basedOn w:val="a0"/>
    <w:rsid w:val="00EA7F85"/>
  </w:style>
  <w:style w:type="character" w:customStyle="1" w:styleId="mw-headline">
    <w:name w:val="mw-headline"/>
    <w:basedOn w:val="a0"/>
    <w:rsid w:val="00BD0EF7"/>
  </w:style>
  <w:style w:type="character" w:customStyle="1" w:styleId="mw-editsection">
    <w:name w:val="mw-editsection"/>
    <w:basedOn w:val="a0"/>
    <w:rsid w:val="00BD0EF7"/>
  </w:style>
  <w:style w:type="character" w:customStyle="1" w:styleId="mw-editsection-bracket">
    <w:name w:val="mw-editsection-bracket"/>
    <w:basedOn w:val="a0"/>
    <w:rsid w:val="00BD0EF7"/>
  </w:style>
  <w:style w:type="character" w:customStyle="1" w:styleId="mw-editsection-divider">
    <w:name w:val="mw-editsection-divider"/>
    <w:basedOn w:val="a0"/>
    <w:rsid w:val="00BD0EF7"/>
  </w:style>
  <w:style w:type="paragraph" w:customStyle="1" w:styleId="firstchild">
    <w:name w:val="first_child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paragraph">
    <w:name w:val="book-paragraph"/>
    <w:basedOn w:val="a"/>
    <w:rsid w:val="0091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D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link w:val="af0"/>
    <w:rsid w:val="003D1689"/>
    <w:pPr>
      <w:tabs>
        <w:tab w:val="left" w:pos="992"/>
      </w:tabs>
      <w:spacing w:after="60" w:line="240" w:lineRule="auto"/>
      <w:jc w:val="both"/>
    </w:pPr>
    <w:rPr>
      <w:rFonts w:ascii="Tahoma" w:eastAsia="Times New Roman" w:hAnsi="Tahoma" w:cs="Tahoma"/>
      <w:snapToGrid w:val="0"/>
      <w:sz w:val="24"/>
      <w:szCs w:val="24"/>
      <w:lang w:eastAsia="ru-RU"/>
    </w:rPr>
  </w:style>
  <w:style w:type="character" w:customStyle="1" w:styleId="af0">
    <w:name w:val="Список Знак"/>
    <w:link w:val="af"/>
    <w:rsid w:val="003D1689"/>
    <w:rPr>
      <w:rFonts w:ascii="Tahoma" w:eastAsia="Times New Roman" w:hAnsi="Tahoma" w:cs="Tahoma"/>
      <w:snapToGrid w:val="0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3D1689"/>
  </w:style>
  <w:style w:type="character" w:customStyle="1" w:styleId="uppercase">
    <w:name w:val="uppercase"/>
    <w:basedOn w:val="a0"/>
    <w:rsid w:val="003D7A64"/>
  </w:style>
  <w:style w:type="paragraph" w:styleId="af1">
    <w:name w:val="footnote text"/>
    <w:basedOn w:val="a"/>
    <w:link w:val="af2"/>
    <w:uiPriority w:val="99"/>
    <w:semiHidden/>
    <w:unhideWhenUsed/>
    <w:rsid w:val="00723D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3DFF"/>
    <w:rPr>
      <w:sz w:val="20"/>
      <w:szCs w:val="20"/>
    </w:rPr>
  </w:style>
  <w:style w:type="character" w:customStyle="1" w:styleId="af3">
    <w:name w:val="Название отчета МСО Знак"/>
    <w:basedOn w:val="a0"/>
    <w:link w:val="af4"/>
    <w:locked/>
    <w:rsid w:val="00723DFF"/>
    <w:rPr>
      <w:rFonts w:ascii="Times New Roman" w:hAnsi="Times New Roman" w:cs="Times New Roman"/>
      <w:caps/>
      <w:sz w:val="32"/>
      <w:szCs w:val="26"/>
    </w:rPr>
  </w:style>
  <w:style w:type="paragraph" w:customStyle="1" w:styleId="af4">
    <w:name w:val="Название отчета МСО"/>
    <w:basedOn w:val="a"/>
    <w:next w:val="a"/>
    <w:link w:val="af3"/>
    <w:autoRedefine/>
    <w:qFormat/>
    <w:rsid w:val="00723DFF"/>
    <w:pPr>
      <w:spacing w:after="0" w:line="240" w:lineRule="auto"/>
      <w:jc w:val="both"/>
    </w:pPr>
    <w:rPr>
      <w:rFonts w:ascii="Times New Roman" w:hAnsi="Times New Roman" w:cs="Times New Roman"/>
      <w:caps/>
      <w:sz w:val="32"/>
      <w:szCs w:val="26"/>
    </w:rPr>
  </w:style>
  <w:style w:type="character" w:styleId="af5">
    <w:name w:val="footnote reference"/>
    <w:basedOn w:val="a0"/>
    <w:uiPriority w:val="99"/>
    <w:semiHidden/>
    <w:unhideWhenUsed/>
    <w:rsid w:val="00723DFF"/>
    <w:rPr>
      <w:vertAlign w:val="superscript"/>
    </w:rPr>
  </w:style>
  <w:style w:type="character" w:customStyle="1" w:styleId="post-title">
    <w:name w:val="post-title"/>
    <w:basedOn w:val="a0"/>
    <w:rsid w:val="00723DFF"/>
  </w:style>
  <w:style w:type="paragraph" w:customStyle="1" w:styleId="stk-reset">
    <w:name w:val="stk-reset"/>
    <w:basedOn w:val="a"/>
    <w:rsid w:val="0053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53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53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27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254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none" w:sz="0" w:space="0" w:color="auto"/>
                <w:right w:val="single" w:sz="12" w:space="0" w:color="FFFFFF"/>
              </w:divBdr>
              <w:divsChild>
                <w:div w:id="14732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104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12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58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4522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5426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38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3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1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530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08918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98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7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3179BC"/>
            <w:bottom w:val="none" w:sz="0" w:space="0" w:color="auto"/>
            <w:right w:val="none" w:sz="0" w:space="0" w:color="auto"/>
          </w:divBdr>
          <w:divsChild>
            <w:div w:id="8629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5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9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07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3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25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91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811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377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50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3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63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97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3179BC"/>
            <w:bottom w:val="none" w:sz="0" w:space="0" w:color="auto"/>
            <w:right w:val="none" w:sz="0" w:space="0" w:color="auto"/>
          </w:divBdr>
          <w:divsChild>
            <w:div w:id="96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0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69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68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344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031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82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6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72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6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1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580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719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74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fera.ru/bo/esg-reyting-banka-eto-summa-esg-reytingov-klient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56orb.ru/news/society/14-08-2020/konflikt-mezhdu-ussom-i-nornikelem-mozhet-privesti-k-novym-sanktsiyam-dlya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mersant.ru/theme/3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9C7B-E393-47C4-84F3-BD3A1A55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Ольга Александровна</dc:creator>
  <cp:lastModifiedBy>Ярцева Ольга Александровна</cp:lastModifiedBy>
  <cp:revision>12</cp:revision>
  <cp:lastPrinted>2024-06-20T09:25:00Z</cp:lastPrinted>
  <dcterms:created xsi:type="dcterms:W3CDTF">2024-09-06T12:27:00Z</dcterms:created>
  <dcterms:modified xsi:type="dcterms:W3CDTF">2024-09-13T08:36:00Z</dcterms:modified>
</cp:coreProperties>
</file>