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E22" w:rsidRPr="00AE3E22" w:rsidRDefault="00AE3E22" w:rsidP="00AE3E22">
      <w:pPr>
        <w:shd w:val="clear" w:color="auto" w:fill="FFFFFF"/>
        <w:spacing w:line="265" w:lineRule="atLeast"/>
        <w:rPr>
          <w:rFonts w:ascii="Arial" w:eastAsia="Times New Roman" w:hAnsi="Arial" w:cs="Arial"/>
          <w:b/>
          <w:bCs/>
          <w:color w:val="1A0DAB"/>
          <w:sz w:val="21"/>
          <w:szCs w:val="21"/>
          <w:lang w:eastAsia="ru-RU"/>
        </w:rPr>
      </w:pPr>
      <w:r w:rsidRPr="00AE3E22">
        <w:rPr>
          <w:rFonts w:ascii="Arial" w:eastAsia="Times New Roman" w:hAnsi="Arial" w:cs="Arial"/>
          <w:b/>
          <w:bCs/>
          <w:color w:val="1A0DAB"/>
          <w:sz w:val="21"/>
          <w:szCs w:val="21"/>
          <w:lang w:eastAsia="ru-RU"/>
        </w:rPr>
        <w:fldChar w:fldCharType="begin"/>
      </w:r>
      <w:r w:rsidRPr="00AE3E22">
        <w:rPr>
          <w:rFonts w:ascii="Arial" w:eastAsia="Times New Roman" w:hAnsi="Arial" w:cs="Arial"/>
          <w:b/>
          <w:bCs/>
          <w:color w:val="1A0DAB"/>
          <w:sz w:val="21"/>
          <w:szCs w:val="21"/>
          <w:lang w:eastAsia="ru-RU"/>
        </w:rPr>
        <w:instrText xml:space="preserve"> HYPERLINK "https://www.consultant.ru/document/cons_doc_LAW_54572/" </w:instrText>
      </w:r>
      <w:r w:rsidRPr="00AE3E22">
        <w:rPr>
          <w:rFonts w:ascii="Arial" w:eastAsia="Times New Roman" w:hAnsi="Arial" w:cs="Arial"/>
          <w:b/>
          <w:bCs/>
          <w:color w:val="1A0DAB"/>
          <w:sz w:val="21"/>
          <w:szCs w:val="21"/>
          <w:lang w:eastAsia="ru-RU"/>
        </w:rPr>
        <w:fldChar w:fldCharType="separate"/>
      </w:r>
      <w:r w:rsidRPr="00AE3E22">
        <w:rPr>
          <w:rFonts w:ascii="Arial" w:eastAsia="Times New Roman" w:hAnsi="Arial" w:cs="Arial"/>
          <w:b/>
          <w:bCs/>
          <w:color w:val="1A0DAB"/>
          <w:sz w:val="21"/>
          <w:u w:val="single"/>
          <w:lang w:eastAsia="ru-RU"/>
        </w:rPr>
        <w:t>Федеральный закон от 21.07.2005 N 115-ФЗ (ред. от 22.07.2024) "О концессионных соглашениях"</w:t>
      </w:r>
      <w:r w:rsidRPr="00AE3E22">
        <w:rPr>
          <w:rFonts w:ascii="Arial" w:eastAsia="Times New Roman" w:hAnsi="Arial" w:cs="Arial"/>
          <w:b/>
          <w:bCs/>
          <w:color w:val="1A0DAB"/>
          <w:sz w:val="21"/>
          <w:szCs w:val="21"/>
          <w:lang w:eastAsia="ru-RU"/>
        </w:rPr>
        <w:fldChar w:fldCharType="end"/>
      </w:r>
    </w:p>
    <w:p w:rsidR="00AE3E22" w:rsidRPr="00AE3E22" w:rsidRDefault="00AE3E22" w:rsidP="00AE3E22">
      <w:pPr>
        <w:shd w:val="clear" w:color="auto" w:fill="FFFFFF"/>
        <w:spacing w:after="0" w:line="346" w:lineRule="atLeast"/>
        <w:outlineLvl w:val="0"/>
        <w:rPr>
          <w:rFonts w:ascii="Arial" w:eastAsia="Times New Roman" w:hAnsi="Arial" w:cs="Arial"/>
          <w:b/>
          <w:bCs/>
          <w:color w:val="000000"/>
          <w:kern w:val="36"/>
          <w:sz w:val="23"/>
          <w:szCs w:val="23"/>
          <w:lang w:eastAsia="ru-RU"/>
        </w:rPr>
      </w:pPr>
      <w:r w:rsidRPr="00AE3E22">
        <w:rPr>
          <w:rFonts w:ascii="Arial" w:eastAsia="Times New Roman" w:hAnsi="Arial" w:cs="Arial"/>
          <w:b/>
          <w:bCs/>
          <w:color w:val="000000"/>
          <w:kern w:val="36"/>
          <w:sz w:val="23"/>
          <w:szCs w:val="23"/>
          <w:lang w:eastAsia="ru-RU"/>
        </w:rPr>
        <w:t>Статья 4. Объекты концессионного соглашения</w:t>
      </w:r>
    </w:p>
    <w:p w:rsidR="00AE3E22" w:rsidRPr="00AE3E22" w:rsidRDefault="00AE3E22" w:rsidP="00AE3E22">
      <w:pPr>
        <w:shd w:val="clear" w:color="auto" w:fill="FFFFFF"/>
        <w:spacing w:after="0" w:line="276" w:lineRule="atLeast"/>
        <w:rPr>
          <w:rFonts w:ascii="Times New Roman" w:eastAsia="Times New Roman" w:hAnsi="Times New Roman" w:cs="Times New Roman"/>
          <w:color w:val="000000"/>
          <w:sz w:val="23"/>
          <w:szCs w:val="23"/>
          <w:lang w:eastAsia="ru-RU"/>
        </w:rPr>
      </w:pPr>
      <w:r w:rsidRPr="00AE3E22">
        <w:rPr>
          <w:rFonts w:ascii="Times New Roman" w:eastAsia="Times New Roman" w:hAnsi="Times New Roman" w:cs="Times New Roman"/>
          <w:color w:val="000000"/>
          <w:sz w:val="23"/>
          <w:szCs w:val="23"/>
          <w:lang w:eastAsia="ru-RU"/>
        </w:rPr>
        <w:t>1. Объектами концессионного соглашения являются:</w:t>
      </w:r>
    </w:p>
    <w:p w:rsidR="00AE3E22" w:rsidRPr="00AE3E22" w:rsidRDefault="00AE3E22" w:rsidP="00AE3E22">
      <w:pPr>
        <w:shd w:val="clear" w:color="auto" w:fill="FFFFFF"/>
        <w:spacing w:before="161" w:after="0" w:line="276" w:lineRule="atLeast"/>
        <w:rPr>
          <w:rFonts w:ascii="Times New Roman" w:eastAsia="Times New Roman" w:hAnsi="Times New Roman" w:cs="Times New Roman"/>
          <w:color w:val="828282"/>
          <w:sz w:val="21"/>
          <w:szCs w:val="21"/>
          <w:lang w:eastAsia="ru-RU"/>
        </w:rPr>
      </w:pPr>
      <w:r w:rsidRPr="00AE3E22">
        <w:rPr>
          <w:rFonts w:ascii="Times New Roman" w:eastAsia="Times New Roman" w:hAnsi="Times New Roman" w:cs="Times New Roman"/>
          <w:color w:val="828282"/>
          <w:sz w:val="21"/>
          <w:szCs w:val="21"/>
          <w:lang w:eastAsia="ru-RU"/>
        </w:rPr>
        <w:t>(в ред. Федерального </w:t>
      </w:r>
      <w:hyperlink r:id="rId4" w:anchor="dst100018" w:history="1">
        <w:r w:rsidRPr="00AE3E22">
          <w:rPr>
            <w:rFonts w:ascii="Times New Roman" w:eastAsia="Times New Roman" w:hAnsi="Times New Roman" w:cs="Times New Roman"/>
            <w:color w:val="1A0DAB"/>
            <w:sz w:val="21"/>
            <w:u w:val="single"/>
            <w:lang w:eastAsia="ru-RU"/>
          </w:rPr>
          <w:t>закона</w:t>
        </w:r>
      </w:hyperlink>
      <w:r w:rsidRPr="00AE3E22">
        <w:rPr>
          <w:rFonts w:ascii="Times New Roman" w:eastAsia="Times New Roman" w:hAnsi="Times New Roman" w:cs="Times New Roman"/>
          <w:color w:val="828282"/>
          <w:sz w:val="21"/>
          <w:szCs w:val="21"/>
          <w:lang w:eastAsia="ru-RU"/>
        </w:rPr>
        <w:t> от 02.07.2010 N 152-ФЗ)</w:t>
      </w:r>
    </w:p>
    <w:p w:rsidR="00AE3E22" w:rsidRPr="00AE3E22" w:rsidRDefault="00AE3E22" w:rsidP="00AE3E22">
      <w:pPr>
        <w:shd w:val="clear" w:color="auto" w:fill="FFFFFF"/>
        <w:spacing w:before="161" w:after="0" w:line="276" w:lineRule="atLeast"/>
        <w:rPr>
          <w:rFonts w:ascii="Times New Roman" w:eastAsia="Times New Roman" w:hAnsi="Times New Roman" w:cs="Times New Roman"/>
          <w:color w:val="828282"/>
          <w:sz w:val="21"/>
          <w:szCs w:val="21"/>
          <w:lang w:eastAsia="ru-RU"/>
        </w:rPr>
      </w:pPr>
      <w:r w:rsidRPr="00AE3E22">
        <w:rPr>
          <w:rFonts w:ascii="Times New Roman" w:eastAsia="Times New Roman" w:hAnsi="Times New Roman" w:cs="Times New Roman"/>
          <w:color w:val="828282"/>
          <w:sz w:val="21"/>
          <w:szCs w:val="21"/>
          <w:lang w:eastAsia="ru-RU"/>
        </w:rPr>
        <w:t>(</w:t>
      </w:r>
      <w:proofErr w:type="gramStart"/>
      <w:r w:rsidRPr="00AE3E22">
        <w:rPr>
          <w:rFonts w:ascii="Times New Roman" w:eastAsia="Times New Roman" w:hAnsi="Times New Roman" w:cs="Times New Roman"/>
          <w:color w:val="828282"/>
          <w:sz w:val="21"/>
          <w:szCs w:val="21"/>
          <w:lang w:eastAsia="ru-RU"/>
        </w:rPr>
        <w:t>см</w:t>
      </w:r>
      <w:proofErr w:type="gramEnd"/>
      <w:r w:rsidRPr="00AE3E22">
        <w:rPr>
          <w:rFonts w:ascii="Times New Roman" w:eastAsia="Times New Roman" w:hAnsi="Times New Roman" w:cs="Times New Roman"/>
          <w:color w:val="828282"/>
          <w:sz w:val="21"/>
          <w:szCs w:val="21"/>
          <w:lang w:eastAsia="ru-RU"/>
        </w:rPr>
        <w:t>. текст в предыдущей </w:t>
      </w:r>
      <w:hyperlink r:id="rId5" w:history="1">
        <w:r w:rsidRPr="00AE3E22">
          <w:rPr>
            <w:rFonts w:ascii="Times New Roman" w:eastAsia="Times New Roman" w:hAnsi="Times New Roman" w:cs="Times New Roman"/>
            <w:color w:val="1A0DAB"/>
            <w:sz w:val="21"/>
            <w:u w:val="single"/>
            <w:lang w:eastAsia="ru-RU"/>
          </w:rPr>
          <w:t>редакции</w:t>
        </w:r>
      </w:hyperlink>
      <w:r w:rsidRPr="00AE3E22">
        <w:rPr>
          <w:rFonts w:ascii="Times New Roman" w:eastAsia="Times New Roman" w:hAnsi="Times New Roman" w:cs="Times New Roman"/>
          <w:color w:val="828282"/>
          <w:sz w:val="21"/>
          <w:szCs w:val="21"/>
          <w:lang w:eastAsia="ru-RU"/>
        </w:rPr>
        <w:t>)</w:t>
      </w:r>
    </w:p>
    <w:p w:rsidR="00AE3E22" w:rsidRPr="00AE3E22" w:rsidRDefault="00AE3E22" w:rsidP="00AE3E22">
      <w:pPr>
        <w:shd w:val="clear" w:color="auto" w:fill="FFFFFF"/>
        <w:spacing w:after="0" w:line="276" w:lineRule="atLeast"/>
        <w:rPr>
          <w:rFonts w:ascii="Times New Roman" w:eastAsia="Times New Roman" w:hAnsi="Times New Roman" w:cs="Times New Roman"/>
          <w:color w:val="000000"/>
          <w:sz w:val="23"/>
          <w:szCs w:val="23"/>
          <w:lang w:eastAsia="ru-RU"/>
        </w:rPr>
      </w:pPr>
      <w:r w:rsidRPr="00AE3E22">
        <w:rPr>
          <w:rFonts w:ascii="Times New Roman" w:eastAsia="Times New Roman" w:hAnsi="Times New Roman" w:cs="Times New Roman"/>
          <w:color w:val="000000"/>
          <w:sz w:val="23"/>
          <w:szCs w:val="23"/>
          <w:lang w:eastAsia="ru-RU"/>
        </w:rPr>
        <w:t>1) автомобильные дороги или участки автомобильных дорог, защитные дорожные сооружения, искусственные дорожные сооружения, производственные объекты, то есть объекты, используемые при капитальном ремонте, ремонте, содержании автомобильных дорог, элементы обустройства автомобильных дорог (в том числе остановочные пункты), объекты, предназначенные для взимания платы (в том числе пункты взимания платы), объекты дорожного сервиса;</w:t>
      </w:r>
    </w:p>
    <w:p w:rsidR="00AE3E22" w:rsidRPr="00AE3E22" w:rsidRDefault="00AE3E22" w:rsidP="00AE3E22">
      <w:pPr>
        <w:shd w:val="clear" w:color="auto" w:fill="FFFFFF"/>
        <w:spacing w:before="161" w:after="0" w:line="276" w:lineRule="atLeast"/>
        <w:rPr>
          <w:rFonts w:ascii="Times New Roman" w:eastAsia="Times New Roman" w:hAnsi="Times New Roman" w:cs="Times New Roman"/>
          <w:color w:val="828282"/>
          <w:sz w:val="21"/>
          <w:szCs w:val="21"/>
          <w:lang w:eastAsia="ru-RU"/>
        </w:rPr>
      </w:pPr>
      <w:r w:rsidRPr="00AE3E22">
        <w:rPr>
          <w:rFonts w:ascii="Times New Roman" w:eastAsia="Times New Roman" w:hAnsi="Times New Roman" w:cs="Times New Roman"/>
          <w:color w:val="828282"/>
          <w:sz w:val="21"/>
          <w:szCs w:val="21"/>
          <w:lang w:eastAsia="ru-RU"/>
        </w:rPr>
        <w:t>(в ред. Федеральных законов от 25.04.2012 </w:t>
      </w:r>
      <w:hyperlink r:id="rId6" w:anchor="dst100014" w:history="1">
        <w:r w:rsidRPr="00AE3E22">
          <w:rPr>
            <w:rFonts w:ascii="Times New Roman" w:eastAsia="Times New Roman" w:hAnsi="Times New Roman" w:cs="Times New Roman"/>
            <w:color w:val="1A0DAB"/>
            <w:sz w:val="21"/>
            <w:u w:val="single"/>
            <w:lang w:eastAsia="ru-RU"/>
          </w:rPr>
          <w:t>N 38-ФЗ</w:t>
        </w:r>
      </w:hyperlink>
      <w:r w:rsidRPr="00AE3E22">
        <w:rPr>
          <w:rFonts w:ascii="Times New Roman" w:eastAsia="Times New Roman" w:hAnsi="Times New Roman" w:cs="Times New Roman"/>
          <w:color w:val="828282"/>
          <w:sz w:val="21"/>
          <w:szCs w:val="21"/>
          <w:lang w:eastAsia="ru-RU"/>
        </w:rPr>
        <w:t>, от 21.07.2014 </w:t>
      </w:r>
      <w:hyperlink r:id="rId7" w:anchor="dst100018" w:history="1">
        <w:r w:rsidRPr="00AE3E22">
          <w:rPr>
            <w:rFonts w:ascii="Times New Roman" w:eastAsia="Times New Roman" w:hAnsi="Times New Roman" w:cs="Times New Roman"/>
            <w:color w:val="1A0DAB"/>
            <w:sz w:val="21"/>
            <w:u w:val="single"/>
            <w:lang w:eastAsia="ru-RU"/>
          </w:rPr>
          <w:t>N 265-ФЗ</w:t>
        </w:r>
      </w:hyperlink>
      <w:r w:rsidRPr="00AE3E22">
        <w:rPr>
          <w:rFonts w:ascii="Times New Roman" w:eastAsia="Times New Roman" w:hAnsi="Times New Roman" w:cs="Times New Roman"/>
          <w:color w:val="828282"/>
          <w:sz w:val="21"/>
          <w:szCs w:val="21"/>
          <w:lang w:eastAsia="ru-RU"/>
        </w:rPr>
        <w:t>)</w:t>
      </w:r>
    </w:p>
    <w:p w:rsidR="00AE3E22" w:rsidRPr="00AE3E22" w:rsidRDefault="00AE3E22" w:rsidP="00AE3E22">
      <w:pPr>
        <w:shd w:val="clear" w:color="auto" w:fill="FFFFFF"/>
        <w:spacing w:before="161" w:after="0" w:line="276" w:lineRule="atLeast"/>
        <w:rPr>
          <w:rFonts w:ascii="Times New Roman" w:eastAsia="Times New Roman" w:hAnsi="Times New Roman" w:cs="Times New Roman"/>
          <w:color w:val="828282"/>
          <w:sz w:val="21"/>
          <w:szCs w:val="21"/>
          <w:lang w:eastAsia="ru-RU"/>
        </w:rPr>
      </w:pPr>
      <w:r w:rsidRPr="00AE3E22">
        <w:rPr>
          <w:rFonts w:ascii="Times New Roman" w:eastAsia="Times New Roman" w:hAnsi="Times New Roman" w:cs="Times New Roman"/>
          <w:color w:val="828282"/>
          <w:sz w:val="21"/>
          <w:szCs w:val="21"/>
          <w:lang w:eastAsia="ru-RU"/>
        </w:rPr>
        <w:t>(</w:t>
      </w:r>
      <w:proofErr w:type="gramStart"/>
      <w:r w:rsidRPr="00AE3E22">
        <w:rPr>
          <w:rFonts w:ascii="Times New Roman" w:eastAsia="Times New Roman" w:hAnsi="Times New Roman" w:cs="Times New Roman"/>
          <w:color w:val="828282"/>
          <w:sz w:val="21"/>
          <w:szCs w:val="21"/>
          <w:lang w:eastAsia="ru-RU"/>
        </w:rPr>
        <w:t>см</w:t>
      </w:r>
      <w:proofErr w:type="gramEnd"/>
      <w:r w:rsidRPr="00AE3E22">
        <w:rPr>
          <w:rFonts w:ascii="Times New Roman" w:eastAsia="Times New Roman" w:hAnsi="Times New Roman" w:cs="Times New Roman"/>
          <w:color w:val="828282"/>
          <w:sz w:val="21"/>
          <w:szCs w:val="21"/>
          <w:lang w:eastAsia="ru-RU"/>
        </w:rPr>
        <w:t>. текст в предыдущей </w:t>
      </w:r>
      <w:hyperlink r:id="rId8" w:history="1">
        <w:r w:rsidRPr="00AE3E22">
          <w:rPr>
            <w:rFonts w:ascii="Times New Roman" w:eastAsia="Times New Roman" w:hAnsi="Times New Roman" w:cs="Times New Roman"/>
            <w:color w:val="1A0DAB"/>
            <w:sz w:val="21"/>
            <w:u w:val="single"/>
            <w:lang w:eastAsia="ru-RU"/>
          </w:rPr>
          <w:t>редакции</w:t>
        </w:r>
      </w:hyperlink>
      <w:r w:rsidRPr="00AE3E22">
        <w:rPr>
          <w:rFonts w:ascii="Times New Roman" w:eastAsia="Times New Roman" w:hAnsi="Times New Roman" w:cs="Times New Roman"/>
          <w:color w:val="828282"/>
          <w:sz w:val="21"/>
          <w:szCs w:val="21"/>
          <w:lang w:eastAsia="ru-RU"/>
        </w:rPr>
        <w:t>)</w:t>
      </w:r>
    </w:p>
    <w:p w:rsidR="00AE3E22" w:rsidRPr="00AE3E22" w:rsidRDefault="00AE3E22" w:rsidP="00AE3E22">
      <w:pPr>
        <w:shd w:val="clear" w:color="auto" w:fill="FFFFFF"/>
        <w:spacing w:after="0" w:line="276" w:lineRule="atLeast"/>
        <w:rPr>
          <w:rFonts w:ascii="Times New Roman" w:eastAsia="Times New Roman" w:hAnsi="Times New Roman" w:cs="Times New Roman"/>
          <w:color w:val="000000"/>
          <w:sz w:val="23"/>
          <w:szCs w:val="23"/>
          <w:lang w:eastAsia="ru-RU"/>
        </w:rPr>
      </w:pPr>
      <w:r w:rsidRPr="00AE3E22">
        <w:rPr>
          <w:rFonts w:ascii="Times New Roman" w:eastAsia="Times New Roman" w:hAnsi="Times New Roman" w:cs="Times New Roman"/>
          <w:color w:val="000000"/>
          <w:sz w:val="23"/>
          <w:szCs w:val="23"/>
          <w:lang w:eastAsia="ru-RU"/>
        </w:rPr>
        <w:t>12) объекты транспортной инфраструктуры и технологически связанные с ними транспортные средства, обеспечивающие деятельность, связанную с перевозками пассажиров транспортом общего пользования, за исключением метрополитена;</w:t>
      </w:r>
    </w:p>
    <w:p w:rsidR="00AE3E22" w:rsidRPr="00AE3E22" w:rsidRDefault="00AE3E22" w:rsidP="00AE3E22">
      <w:pPr>
        <w:shd w:val="clear" w:color="auto" w:fill="FFFFFF"/>
        <w:spacing w:before="161" w:after="0" w:line="276" w:lineRule="atLeast"/>
        <w:rPr>
          <w:rFonts w:ascii="Times New Roman" w:eastAsia="Times New Roman" w:hAnsi="Times New Roman" w:cs="Times New Roman"/>
          <w:color w:val="828282"/>
          <w:sz w:val="21"/>
          <w:szCs w:val="21"/>
          <w:lang w:eastAsia="ru-RU"/>
        </w:rPr>
      </w:pPr>
      <w:r w:rsidRPr="00AE3E22">
        <w:rPr>
          <w:rFonts w:ascii="Times New Roman" w:eastAsia="Times New Roman" w:hAnsi="Times New Roman" w:cs="Times New Roman"/>
          <w:color w:val="828282"/>
          <w:sz w:val="21"/>
          <w:szCs w:val="21"/>
          <w:lang w:eastAsia="ru-RU"/>
        </w:rPr>
        <w:t>(п. 12 в ред. Федерального </w:t>
      </w:r>
      <w:hyperlink r:id="rId9" w:anchor="dst100010" w:history="1">
        <w:r w:rsidRPr="00AE3E22">
          <w:rPr>
            <w:rFonts w:ascii="Times New Roman" w:eastAsia="Times New Roman" w:hAnsi="Times New Roman" w:cs="Times New Roman"/>
            <w:color w:val="1A0DAB"/>
            <w:sz w:val="21"/>
            <w:u w:val="single"/>
            <w:lang w:eastAsia="ru-RU"/>
          </w:rPr>
          <w:t>закона</w:t>
        </w:r>
      </w:hyperlink>
      <w:r w:rsidRPr="00AE3E22">
        <w:rPr>
          <w:rFonts w:ascii="Times New Roman" w:eastAsia="Times New Roman" w:hAnsi="Times New Roman" w:cs="Times New Roman"/>
          <w:color w:val="828282"/>
          <w:sz w:val="21"/>
          <w:szCs w:val="21"/>
          <w:lang w:eastAsia="ru-RU"/>
        </w:rPr>
        <w:t> от 01.05.2022 N 126-ФЗ)</w:t>
      </w:r>
    </w:p>
    <w:p w:rsidR="00AE3E22" w:rsidRPr="00AE3E22" w:rsidRDefault="00AE3E22" w:rsidP="00AE3E22">
      <w:pPr>
        <w:shd w:val="clear" w:color="auto" w:fill="FFFFFF"/>
        <w:spacing w:before="161" w:after="0" w:line="276" w:lineRule="atLeast"/>
        <w:rPr>
          <w:rFonts w:ascii="Times New Roman" w:eastAsia="Times New Roman" w:hAnsi="Times New Roman" w:cs="Times New Roman"/>
          <w:color w:val="828282"/>
          <w:sz w:val="21"/>
          <w:szCs w:val="21"/>
          <w:lang w:eastAsia="ru-RU"/>
        </w:rPr>
      </w:pPr>
      <w:r w:rsidRPr="00AE3E22">
        <w:rPr>
          <w:rFonts w:ascii="Times New Roman" w:eastAsia="Times New Roman" w:hAnsi="Times New Roman" w:cs="Times New Roman"/>
          <w:color w:val="828282"/>
          <w:sz w:val="21"/>
          <w:szCs w:val="21"/>
          <w:lang w:eastAsia="ru-RU"/>
        </w:rPr>
        <w:t>(</w:t>
      </w:r>
      <w:proofErr w:type="gramStart"/>
      <w:r w:rsidRPr="00AE3E22">
        <w:rPr>
          <w:rFonts w:ascii="Times New Roman" w:eastAsia="Times New Roman" w:hAnsi="Times New Roman" w:cs="Times New Roman"/>
          <w:color w:val="828282"/>
          <w:sz w:val="21"/>
          <w:szCs w:val="21"/>
          <w:lang w:eastAsia="ru-RU"/>
        </w:rPr>
        <w:t>см</w:t>
      </w:r>
      <w:proofErr w:type="gramEnd"/>
      <w:r w:rsidRPr="00AE3E22">
        <w:rPr>
          <w:rFonts w:ascii="Times New Roman" w:eastAsia="Times New Roman" w:hAnsi="Times New Roman" w:cs="Times New Roman"/>
          <w:color w:val="828282"/>
          <w:sz w:val="21"/>
          <w:szCs w:val="21"/>
          <w:lang w:eastAsia="ru-RU"/>
        </w:rPr>
        <w:t>. текст в предыдущей </w:t>
      </w:r>
      <w:hyperlink r:id="rId10" w:history="1">
        <w:r w:rsidRPr="00AE3E22">
          <w:rPr>
            <w:rFonts w:ascii="Times New Roman" w:eastAsia="Times New Roman" w:hAnsi="Times New Roman" w:cs="Times New Roman"/>
            <w:color w:val="1A0DAB"/>
            <w:sz w:val="21"/>
            <w:u w:val="single"/>
            <w:lang w:eastAsia="ru-RU"/>
          </w:rPr>
          <w:t>редакции</w:t>
        </w:r>
      </w:hyperlink>
      <w:r w:rsidRPr="00AE3E22">
        <w:rPr>
          <w:rFonts w:ascii="Times New Roman" w:eastAsia="Times New Roman" w:hAnsi="Times New Roman" w:cs="Times New Roman"/>
          <w:color w:val="828282"/>
          <w:sz w:val="21"/>
          <w:szCs w:val="21"/>
          <w:lang w:eastAsia="ru-RU"/>
        </w:rPr>
        <w:t>)</w:t>
      </w:r>
    </w:p>
    <w:p w:rsidR="0050024E" w:rsidRDefault="0050024E"/>
    <w:sectPr w:rsidR="0050024E" w:rsidSect="0050024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50024E"/>
    <w:rsid w:val="0050024E"/>
    <w:rsid w:val="00AE3E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024E"/>
  </w:style>
  <w:style w:type="paragraph" w:styleId="1">
    <w:name w:val="heading 1"/>
    <w:basedOn w:val="a"/>
    <w:link w:val="10"/>
    <w:uiPriority w:val="9"/>
    <w:qFormat/>
    <w:rsid w:val="00AE3E2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3E22"/>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AE3E22"/>
    <w:rPr>
      <w:color w:val="0000FF"/>
      <w:u w:val="single"/>
    </w:rPr>
  </w:style>
  <w:style w:type="paragraph" w:customStyle="1" w:styleId="no-indent">
    <w:name w:val="no-indent"/>
    <w:basedOn w:val="a"/>
    <w:rsid w:val="00AE3E2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41062453">
      <w:bodyDiv w:val="1"/>
      <w:marLeft w:val="0"/>
      <w:marRight w:val="0"/>
      <w:marTop w:val="0"/>
      <w:marBottom w:val="0"/>
      <w:divBdr>
        <w:top w:val="none" w:sz="0" w:space="0" w:color="auto"/>
        <w:left w:val="none" w:sz="0" w:space="0" w:color="auto"/>
        <w:bottom w:val="none" w:sz="0" w:space="0" w:color="auto"/>
        <w:right w:val="none" w:sz="0" w:space="0" w:color="auto"/>
      </w:divBdr>
      <w:divsChild>
        <w:div w:id="1343238854">
          <w:marLeft w:val="0"/>
          <w:marRight w:val="0"/>
          <w:marTop w:val="0"/>
          <w:marBottom w:val="461"/>
          <w:divBdr>
            <w:top w:val="none" w:sz="0" w:space="0" w:color="auto"/>
            <w:left w:val="none" w:sz="0" w:space="0" w:color="auto"/>
            <w:bottom w:val="none" w:sz="0" w:space="0" w:color="auto"/>
            <w:right w:val="none" w:sz="0" w:space="0" w:color="auto"/>
          </w:divBdr>
        </w:div>
        <w:div w:id="680938171">
          <w:marLeft w:val="0"/>
          <w:marRight w:val="0"/>
          <w:marTop w:val="0"/>
          <w:marBottom w:val="0"/>
          <w:divBdr>
            <w:top w:val="none" w:sz="0" w:space="0" w:color="auto"/>
            <w:left w:val="none" w:sz="0" w:space="0" w:color="auto"/>
            <w:bottom w:val="none" w:sz="0" w:space="0" w:color="auto"/>
            <w:right w:val="none" w:sz="0" w:space="0" w:color="auto"/>
          </w:divBdr>
          <w:divsChild>
            <w:div w:id="1774669472">
              <w:marLeft w:val="0"/>
              <w:marRight w:val="0"/>
              <w:marTop w:val="0"/>
              <w:marBottom w:val="0"/>
              <w:divBdr>
                <w:top w:val="none" w:sz="0" w:space="0" w:color="auto"/>
                <w:left w:val="none" w:sz="0" w:space="0" w:color="auto"/>
                <w:bottom w:val="none" w:sz="0" w:space="0" w:color="auto"/>
                <w:right w:val="none" w:sz="0" w:space="0" w:color="auto"/>
              </w:divBdr>
            </w:div>
            <w:div w:id="1966080352">
              <w:marLeft w:val="0"/>
              <w:marRight w:val="0"/>
              <w:marTop w:val="0"/>
              <w:marBottom w:val="0"/>
              <w:divBdr>
                <w:top w:val="none" w:sz="0" w:space="0" w:color="auto"/>
                <w:left w:val="none" w:sz="0" w:space="0" w:color="auto"/>
                <w:bottom w:val="none" w:sz="0" w:space="0" w:color="auto"/>
                <w:right w:val="none" w:sz="0" w:space="0" w:color="auto"/>
              </w:divBdr>
            </w:div>
            <w:div w:id="1478760564">
              <w:marLeft w:val="0"/>
              <w:marRight w:val="0"/>
              <w:marTop w:val="0"/>
              <w:marBottom w:val="0"/>
              <w:divBdr>
                <w:top w:val="none" w:sz="0" w:space="0" w:color="auto"/>
                <w:left w:val="none" w:sz="0" w:space="0" w:color="auto"/>
                <w:bottom w:val="none" w:sz="0" w:space="0" w:color="auto"/>
                <w:right w:val="none" w:sz="0" w:space="0" w:color="auto"/>
              </w:divBdr>
            </w:div>
            <w:div w:id="759332728">
              <w:marLeft w:val="0"/>
              <w:marRight w:val="0"/>
              <w:marTop w:val="0"/>
              <w:marBottom w:val="0"/>
              <w:divBdr>
                <w:top w:val="none" w:sz="0" w:space="0" w:color="auto"/>
                <w:left w:val="none" w:sz="0" w:space="0" w:color="auto"/>
                <w:bottom w:val="none" w:sz="0" w:space="0" w:color="auto"/>
                <w:right w:val="none" w:sz="0" w:space="0" w:color="auto"/>
              </w:divBdr>
            </w:div>
            <w:div w:id="1584757924">
              <w:marLeft w:val="0"/>
              <w:marRight w:val="0"/>
              <w:marTop w:val="0"/>
              <w:marBottom w:val="0"/>
              <w:divBdr>
                <w:top w:val="none" w:sz="0" w:space="0" w:color="auto"/>
                <w:left w:val="none" w:sz="0" w:space="0" w:color="auto"/>
                <w:bottom w:val="none" w:sz="0" w:space="0" w:color="auto"/>
                <w:right w:val="none" w:sz="0" w:space="0" w:color="auto"/>
              </w:divBdr>
            </w:div>
            <w:div w:id="1568952694">
              <w:marLeft w:val="0"/>
              <w:marRight w:val="0"/>
              <w:marTop w:val="0"/>
              <w:marBottom w:val="0"/>
              <w:divBdr>
                <w:top w:val="none" w:sz="0" w:space="0" w:color="auto"/>
                <w:left w:val="none" w:sz="0" w:space="0" w:color="auto"/>
                <w:bottom w:val="none" w:sz="0" w:space="0" w:color="auto"/>
                <w:right w:val="none" w:sz="0" w:space="0" w:color="auto"/>
              </w:divBdr>
            </w:div>
            <w:div w:id="1043017267">
              <w:marLeft w:val="0"/>
              <w:marRight w:val="0"/>
              <w:marTop w:val="0"/>
              <w:marBottom w:val="0"/>
              <w:divBdr>
                <w:top w:val="none" w:sz="0" w:space="0" w:color="auto"/>
                <w:left w:val="none" w:sz="0" w:space="0" w:color="auto"/>
                <w:bottom w:val="none" w:sz="0" w:space="0" w:color="auto"/>
                <w:right w:val="none" w:sz="0" w:space="0" w:color="auto"/>
              </w:divBdr>
            </w:div>
            <w:div w:id="1684355559">
              <w:marLeft w:val="0"/>
              <w:marRight w:val="0"/>
              <w:marTop w:val="0"/>
              <w:marBottom w:val="0"/>
              <w:divBdr>
                <w:top w:val="none" w:sz="0" w:space="0" w:color="auto"/>
                <w:left w:val="none" w:sz="0" w:space="0" w:color="auto"/>
                <w:bottom w:val="none" w:sz="0" w:space="0" w:color="auto"/>
                <w:right w:val="none" w:sz="0" w:space="0" w:color="auto"/>
              </w:divBdr>
            </w:div>
            <w:div w:id="1738359899">
              <w:marLeft w:val="0"/>
              <w:marRight w:val="0"/>
              <w:marTop w:val="0"/>
              <w:marBottom w:val="0"/>
              <w:divBdr>
                <w:top w:val="none" w:sz="0" w:space="0" w:color="auto"/>
                <w:left w:val="none" w:sz="0" w:space="0" w:color="auto"/>
                <w:bottom w:val="none" w:sz="0" w:space="0" w:color="auto"/>
                <w:right w:val="none" w:sz="0" w:space="0" w:color="auto"/>
              </w:divBdr>
            </w:div>
            <w:div w:id="53705832">
              <w:marLeft w:val="0"/>
              <w:marRight w:val="0"/>
              <w:marTop w:val="0"/>
              <w:marBottom w:val="0"/>
              <w:divBdr>
                <w:top w:val="none" w:sz="0" w:space="0" w:color="auto"/>
                <w:left w:val="none" w:sz="0" w:space="0" w:color="auto"/>
                <w:bottom w:val="none" w:sz="0" w:space="0" w:color="auto"/>
                <w:right w:val="none" w:sz="0" w:space="0" w:color="auto"/>
              </w:divBdr>
            </w:div>
            <w:div w:id="1378625477">
              <w:marLeft w:val="0"/>
              <w:marRight w:val="0"/>
              <w:marTop w:val="0"/>
              <w:marBottom w:val="0"/>
              <w:divBdr>
                <w:top w:val="none" w:sz="0" w:space="0" w:color="auto"/>
                <w:left w:val="none" w:sz="0" w:space="0" w:color="auto"/>
                <w:bottom w:val="none" w:sz="0" w:space="0" w:color="auto"/>
                <w:right w:val="none" w:sz="0" w:space="0" w:color="auto"/>
              </w:divBdr>
            </w:div>
            <w:div w:id="1457138023">
              <w:marLeft w:val="0"/>
              <w:marRight w:val="0"/>
              <w:marTop w:val="0"/>
              <w:marBottom w:val="0"/>
              <w:divBdr>
                <w:top w:val="none" w:sz="0" w:space="0" w:color="auto"/>
                <w:left w:val="none" w:sz="0" w:space="0" w:color="auto"/>
                <w:bottom w:val="none" w:sz="0" w:space="0" w:color="auto"/>
                <w:right w:val="none" w:sz="0" w:space="0" w:color="auto"/>
              </w:divBdr>
            </w:div>
            <w:div w:id="1775900980">
              <w:marLeft w:val="0"/>
              <w:marRight w:val="0"/>
              <w:marTop w:val="0"/>
              <w:marBottom w:val="0"/>
              <w:divBdr>
                <w:top w:val="none" w:sz="0" w:space="0" w:color="auto"/>
                <w:left w:val="none" w:sz="0" w:space="0" w:color="auto"/>
                <w:bottom w:val="none" w:sz="0" w:space="0" w:color="auto"/>
                <w:right w:val="none" w:sz="0" w:space="0" w:color="auto"/>
              </w:divBdr>
            </w:div>
            <w:div w:id="12615221">
              <w:marLeft w:val="0"/>
              <w:marRight w:val="0"/>
              <w:marTop w:val="0"/>
              <w:marBottom w:val="0"/>
              <w:divBdr>
                <w:top w:val="none" w:sz="0" w:space="0" w:color="auto"/>
                <w:left w:val="none" w:sz="0" w:space="0" w:color="auto"/>
                <w:bottom w:val="none" w:sz="0" w:space="0" w:color="auto"/>
                <w:right w:val="none" w:sz="0" w:space="0" w:color="auto"/>
              </w:divBdr>
            </w:div>
            <w:div w:id="1451440434">
              <w:marLeft w:val="0"/>
              <w:marRight w:val="0"/>
              <w:marTop w:val="0"/>
              <w:marBottom w:val="0"/>
              <w:divBdr>
                <w:top w:val="none" w:sz="0" w:space="0" w:color="auto"/>
                <w:left w:val="none" w:sz="0" w:space="0" w:color="auto"/>
                <w:bottom w:val="none" w:sz="0" w:space="0" w:color="auto"/>
                <w:right w:val="none" w:sz="0" w:space="0" w:color="auto"/>
              </w:divBdr>
            </w:div>
            <w:div w:id="135823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54572/c93553a53e324a29f23932c1133895314853ee0a/" TargetMode="External"/><Relationship Id="rId3" Type="http://schemas.openxmlformats.org/officeDocument/2006/relationships/webSettings" Target="webSettings.xml"/><Relationship Id="rId7" Type="http://schemas.openxmlformats.org/officeDocument/2006/relationships/hyperlink" Target="https://www.consultant.ru/document/cons_doc_LAW_201155/3d0cac60971a511280cbba229d9b6329c07731f7/"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onsultant.ru/document/cons_doc_LAW_201117/3d0cac60971a511280cbba229d9b6329c07731f7/" TargetMode="External"/><Relationship Id="rId11" Type="http://schemas.openxmlformats.org/officeDocument/2006/relationships/fontTable" Target="fontTable.xml"/><Relationship Id="rId5" Type="http://schemas.openxmlformats.org/officeDocument/2006/relationships/hyperlink" Target="https://www.consultant.ru/document/cons_doc_LAW_54572/c93553a53e324a29f23932c1133895314853ee0a/" TargetMode="External"/><Relationship Id="rId10" Type="http://schemas.openxmlformats.org/officeDocument/2006/relationships/hyperlink" Target="https://www.consultant.ru/document/cons_doc_LAW_54572/c93553a53e324a29f23932c1133895314853ee0a/" TargetMode="External"/><Relationship Id="rId4" Type="http://schemas.openxmlformats.org/officeDocument/2006/relationships/hyperlink" Target="https://www.consultant.ru/document/cons_doc_LAW_183359/3d0cac60971a511280cbba229d9b6329c07731f7/" TargetMode="External"/><Relationship Id="rId9" Type="http://schemas.openxmlformats.org/officeDocument/2006/relationships/hyperlink" Target="https://www.consultant.ru/document/cons_doc_LAW_416185/3d0cac60971a511280cbba229d9b6329c07731f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305</Words>
  <Characters>1739</Characters>
  <Application>Microsoft Office Word</Application>
  <DocSecurity>0</DocSecurity>
  <Lines>14</Lines>
  <Paragraphs>4</Paragraphs>
  <ScaleCrop>false</ScaleCrop>
  <Company/>
  <LinksUpToDate>false</LinksUpToDate>
  <CharactersWithSpaces>2040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nachecon.hohol</dc:creator>
  <cp:lastModifiedBy>nachecon.hohol</cp:lastModifiedBy>
  <cp:revision>2</cp:revision>
  <dcterms:created xsi:type="dcterms:W3CDTF">2024-08-06T11:26:00Z</dcterms:created>
  <dcterms:modified xsi:type="dcterms:W3CDTF">2024-08-06T11:26:00Z</dcterms:modified>
</cp:coreProperties>
</file>