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8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5402"/>
        <w:gridCol w:w="222"/>
        <w:gridCol w:w="1365"/>
        <w:gridCol w:w="2729"/>
      </w:tblGrid>
      <w:tr w:rsidR="0092253D">
        <w:trPr>
          <w:trHeight w:val="27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 БАЛАНСУ УЧРЕЖДЕНИЯ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24"/>
              </w:rPr>
            </w:pPr>
          </w:p>
        </w:tc>
        <w:tc>
          <w:tcPr>
            <w:tcW w:w="272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24"/>
              </w:rPr>
            </w:pPr>
          </w:p>
        </w:tc>
      </w:tr>
      <w:tr w:rsidR="0092253D">
        <w:trPr>
          <w:trHeight w:val="255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24"/>
              </w:rPr>
            </w:pP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92253D">
        <w:trPr>
          <w:trHeight w:val="21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20"/>
              </w:rPr>
            </w:pPr>
          </w:p>
        </w:tc>
        <w:tc>
          <w:tcPr>
            <w:tcW w:w="1587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Форма по ОКУД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0503760</w:t>
            </w:r>
          </w:p>
        </w:tc>
      </w:tr>
      <w:tr w:rsidR="0092253D">
        <w:trPr>
          <w:trHeight w:val="320"/>
        </w:trPr>
        <w:tc>
          <w:tcPr>
            <w:tcW w:w="5624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Дата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01.01.2025</w:t>
            </w:r>
          </w:p>
        </w:tc>
      </w:tr>
      <w:tr w:rsidR="0092253D">
        <w:trPr>
          <w:trHeight w:val="282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Учреждение 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Хохольский муниципальный район Воронежской области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 ОКПО  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24"/>
              </w:rPr>
            </w:pPr>
          </w:p>
        </w:tc>
      </w:tr>
      <w:tr w:rsidR="0092253D">
        <w:trPr>
          <w:trHeight w:val="195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Обособленное подразделение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20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20"/>
              </w:rPr>
            </w:pP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20"/>
              </w:rPr>
            </w:pPr>
          </w:p>
        </w:tc>
      </w:tr>
      <w:tr w:rsidR="0092253D">
        <w:trPr>
          <w:trHeight w:val="42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Учредитель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 ОКТМО 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20656000</w:t>
            </w:r>
          </w:p>
        </w:tc>
      </w:tr>
      <w:tr w:rsidR="0092253D">
        <w:trPr>
          <w:trHeight w:val="195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Наименование органа,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20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20"/>
              </w:rPr>
            </w:pPr>
          </w:p>
        </w:tc>
      </w:tr>
      <w:tr w:rsidR="0092253D">
        <w:trPr>
          <w:trHeight w:val="21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осуществляющего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20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 ОКПО 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20"/>
              </w:rPr>
            </w:pPr>
          </w:p>
        </w:tc>
      </w:tr>
      <w:tr w:rsidR="0092253D">
        <w:trPr>
          <w:trHeight w:val="320"/>
        </w:trPr>
        <w:tc>
          <w:tcPr>
            <w:tcW w:w="562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полномочия учредителя   </w:t>
            </w: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Глава по БК 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927</w:t>
            </w:r>
          </w:p>
        </w:tc>
      </w:tr>
      <w:tr w:rsidR="0092253D">
        <w:trPr>
          <w:trHeight w:val="282"/>
        </w:trPr>
        <w:tc>
          <w:tcPr>
            <w:tcW w:w="5624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Периодичность:    квартальная, годовая</w:t>
            </w: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253D">
        <w:trPr>
          <w:trHeight w:val="320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 Балансу по форме </w:t>
            </w:r>
          </w:p>
        </w:tc>
        <w:tc>
          <w:tcPr>
            <w:tcW w:w="272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0503730</w:t>
            </w:r>
          </w:p>
        </w:tc>
      </w:tr>
      <w:tr w:rsidR="0092253D">
        <w:trPr>
          <w:trHeight w:val="282"/>
        </w:trPr>
        <w:tc>
          <w:tcPr>
            <w:tcW w:w="540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24"/>
              </w:rPr>
            </w:pPr>
          </w:p>
        </w:tc>
        <w:tc>
          <w:tcPr>
            <w:tcW w:w="13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   по ОКЕИ</w:t>
            </w:r>
          </w:p>
        </w:tc>
        <w:tc>
          <w:tcPr>
            <w:tcW w:w="2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383</w:t>
            </w:r>
          </w:p>
        </w:tc>
      </w:tr>
      <w:tr w:rsidR="0092253D">
        <w:trPr>
          <w:trHeight w:val="282"/>
        </w:trPr>
        <w:tc>
          <w:tcPr>
            <w:tcW w:w="9718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24"/>
              </w:rPr>
            </w:pPr>
          </w:p>
        </w:tc>
      </w:tr>
    </w:tbl>
    <w:p w:rsidR="0092253D" w:rsidRDefault="0092253D">
      <w:pPr>
        <w:rPr>
          <w:vanish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1536"/>
        <w:gridCol w:w="1533"/>
        <w:gridCol w:w="297"/>
        <w:gridCol w:w="297"/>
        <w:gridCol w:w="999"/>
        <w:gridCol w:w="1433"/>
        <w:gridCol w:w="1433"/>
        <w:gridCol w:w="1433"/>
        <w:gridCol w:w="1433"/>
        <w:gridCol w:w="297"/>
        <w:gridCol w:w="1648"/>
        <w:gridCol w:w="831"/>
        <w:gridCol w:w="75"/>
        <w:gridCol w:w="75"/>
      </w:tblGrid>
      <w:tr w:rsidR="0092253D">
        <w:trPr>
          <w:trHeight w:val="24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ПОЯСНИТЕЛЬНАЯ ЗАПИСКА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24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К БАЛАНСУ УЧРЕЖДЕНИЯ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КОДЫ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21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Форма по ОКУД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0503760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21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на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«01» января 2025 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21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Учреждение</w:t>
            </w:r>
          </w:p>
        </w:tc>
        <w:tc>
          <w:tcPr>
            <w:tcW w:w="0" w:type="auto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по ОКПО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39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Обособленное подразделение</w:t>
            </w:r>
          </w:p>
        </w:tc>
        <w:tc>
          <w:tcPr>
            <w:tcW w:w="0" w:type="auto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21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Учредитель</w:t>
            </w:r>
          </w:p>
        </w:tc>
        <w:tc>
          <w:tcPr>
            <w:tcW w:w="0" w:type="auto"/>
            <w:gridSpan w:val="8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по ОКТМО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39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Наименование органа, осуществляющего</w:t>
            </w:r>
          </w:p>
        </w:tc>
        <w:tc>
          <w:tcPr>
            <w:tcW w:w="0" w:type="auto"/>
            <w:gridSpan w:val="8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по ОКПО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21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полномочия учредителя</w:t>
            </w: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92253D">
            <w:pPr>
              <w:rPr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Глава по БК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21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Периодичность: годовая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21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к Балансу по форме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0503730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21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Единица измерения: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по ОКЕИ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Хохольском муниципальном районе четырнадцать бюджетных учреждений.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бюджетное дошкольное образовательное учреждение детский сад "Колокольчик"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Муниципальное бюджетное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учреждение "Спортивно-оздоровительный комплекс "Хохольский"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бюджетное дошкольное образовательное учреждение ЦРР детский сад "№1"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бюджетное учреждение дополнительного образования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Хохольская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детская школа искусств"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бюджетное образовательное учреждение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Костенская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СОШ"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бюджетное учреждение "Центр поддержки агропромышленного комплекса"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бюджетное учреждение "Хохольский районный архив"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бюджетное дошкольное образовательное учрежде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детский сад "Солнышко"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бюджетное учреждение "Хохольский лицей".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Муниципальное бюджетное учреждение "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Хохольская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СОШ"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бюджетное учреждение "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Орловская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СОШ"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бюджетное учреждение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Гремяченская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СОШ"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бю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джетное учреждение культуры "Центр развития культуры и туризма " 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бюджетное учреждение дополнительного образования "Дом детского творчества"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бюджетное учреждение "Комбинат Благоустройства "Хохольский".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Организационно-правовая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орма: Муниципальные учреждения.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Тип учреждений: Бюджетные учреждения.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1 "Организационная структура учреждения"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Основным направлением деятельности: 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МБУ "Центр поддержки АПК" является оказание информационно-консультационных услуг в сфере  агропромыш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ленного комплекса, а также оказание платных услуг, 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МБУ "Хохольский районный архив" является формирование и содержание муниципального архива, хранение архивных фондов поселений, а также оказание платных услуг населению,</w:t>
      </w:r>
    </w:p>
    <w:p w:rsidR="0092253D" w:rsidRDefault="00647243">
      <w:pPr>
        <w:ind w:firstLine="70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МБДОУ детский сад "Колокольчик", МБУ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"Спортивно-оздоровительный комплекс "Хохольский", МБУ ДО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Хохольская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детская школа искусств", МБОУ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Костенская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СОШ", МБДОУ детский сад "Солнышко", МБУ "Хохольский лицей", МБУ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Хохольская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СОШ", МБУ "Орловская СОШ", МБУ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Гремяченская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СОШ", МБУК "ХЦКС", МБУ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"Дом детского творчества" является образовательная деятельность по образовательным программам общего и дошкольного образования, присмотр и уход за детьми, реализация дополнительных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общеразвивающих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 общей культуры, развитие физическ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интелектуальных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нравственных, эстетических и личностных качеств, формирование предпосылок учебной деятельности, сохранение и укрепление здоровья детей дошкольного возраста; удовлетворение потребностей населения в физическом и духовно- нравственном раз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витии посредством оказания услуг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физкультурн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спортивной и оздоровительной направленности; развитие у населения навыков плавания и других видов спорта; популяризация физической культуры и спорта среди различных групп населения, улучшение спортивных резуль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татов спортсменов района; формирование здорового образа жизни и снижение уровня негативных социальных явлений в обществе; содействие сохранению здоровья населения, профилактика различного рода заболеваний и поддержание высокой работоспособности; объединени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усилий органов государственной власти и местного самоуправления, деловых кругов, организаций и учреждений по улучшению качества социальной, трудовой, оздоровительной реабилитации людей с ограниченными возможностями здоровья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инвалидов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охранение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разви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тие культурного и туристского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потенциала района, качественная организация досуга жителей и гостей городского и сельских поселений в соответствии с современными требованиями и принципами государственной культурной политики - основная цель, которой подчинена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деятельность учреждений культуры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задачами в области развития сферы культуры для Хохольского муниципального района являются: реализация муниципальной целевой программы Хохольского муниципального района «Развитие культуры и туризма в Хохольск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муниципальном районе» на 2019-2024 г.г.», сохранение и укрепление материальной базы учреждений культуры, совершенствование форм работы по культурному обслуживанию населения Хохольского района, повышение качества м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униципальных услуг, продвижение информац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ионных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технологий.МБУ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«Комбинат благоустройства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Хохольский» выполняет муниципальное задание, сформированное и утвержденное  в соответствии с основными видами деятельности: обеспечение реализации комплекса мероприятий по благоустройству, выполнение работ,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оказание услуг в сфере благоустройства, направленных на обеспечение и повышение комфортности условий проживания граждан, развитие объектов благоустройства и элементов благоустройства, поддержание и улучшение санитарного и эстетического состояния, содержани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территорий населенных пунктов и расположенных на таких территориях объектов и элементов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благоустройства, в том числе территорий общего  пользования, земельных участков, зданий, строений, сооружений, прилегающих территорий. 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 При МБДОУ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Костенская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ОШ" создана ученическая производственная бригада. УПБ самостоятельное трудовое объединение школьников, целью которого является совершенствование системы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допрофессиональной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профессиональной подготовки школьников в современных социально-экономических услов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иях, повышение уровня теоретических знаний, освоение трудовых навыков, развитие исследовательских и творческих способностей учащихся в сфере сельскохозяйственного производства. 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Обособленных подразделений в учреждениях нет.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2 "Результаты деятел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ьности учреждения"   по состоянию на 1 января 2025 года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1. Общая стоимость имущества: 732237593,19 руб.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 Стоимость ОЦДИ: 103440992,41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3 " Анализ отчета об исполнении учреждением плана его деятельности"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ф.0503737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Плановый объем средств: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субсидии на выполнение государственного (муниципального) задания 444 666 311,30 руб. Фактически освоенный объем средств субсидии на выполнение государственного (муниципального) задания составляет 100 % от выполнения плана.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Субсидии на иные цели 323 678 42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9,25 руб. выполнено полностью 100%.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Собственные средства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учереждения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27 411 791,14 руб., фактически выполнено 21 923 601,36 руб. что составляет 95,75%.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</w:t>
      </w:r>
    </w:p>
    <w:p w:rsidR="0092253D" w:rsidRDefault="00647243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 (рублей)                                                                   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3328"/>
        <w:gridCol w:w="2325"/>
        <w:gridCol w:w="2015"/>
        <w:gridCol w:w="2238"/>
      </w:tblGrid>
      <w:tr w:rsidR="0092253D">
        <w:tc>
          <w:tcPr>
            <w:tcW w:w="3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3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Утверждено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плановых назначений</w:t>
            </w:r>
          </w:p>
        </w:tc>
        <w:tc>
          <w:tcPr>
            <w:tcW w:w="2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Исполнено</w:t>
            </w:r>
          </w:p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плановых</w:t>
            </w:r>
          </w:p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назначений</w:t>
            </w:r>
          </w:p>
        </w:tc>
        <w:tc>
          <w:tcPr>
            <w:tcW w:w="22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Не исполнено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плановых назначений</w:t>
            </w:r>
          </w:p>
        </w:tc>
      </w:tr>
      <w:tr w:rsidR="0092253D">
        <w:tc>
          <w:tcPr>
            <w:tcW w:w="33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выполнение государственного (муниципального) задания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444 666 311,30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444 666 311,3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92253D">
        <w:tc>
          <w:tcPr>
            <w:tcW w:w="33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Собственные средства учреждения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27 411791,14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25 889 370,51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2 312 588,32</w:t>
            </w:r>
          </w:p>
        </w:tc>
      </w:tr>
      <w:tr w:rsidR="0092253D">
        <w:tc>
          <w:tcPr>
            <w:tcW w:w="33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иные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323 678 429,25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323 678 429,25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92253D" w:rsidRDefault="00647243">
      <w:pPr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2253D" w:rsidRDefault="00647243">
      <w:pPr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4 " Анализ показателей отчетности учреждения"</w:t>
      </w:r>
    </w:p>
    <w:p w:rsidR="0092253D" w:rsidRDefault="00647243">
      <w:pPr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2253D" w:rsidRDefault="00647243">
      <w:pPr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  <w:t>   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ф.0503768 "Сведения о движении нефинансовых активов учреждения"</w:t>
      </w:r>
    </w:p>
    <w:p w:rsidR="0092253D" w:rsidRDefault="00647243">
      <w:pPr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Субсидии на выполнение государственного (муниципального) задания</w:t>
      </w:r>
    </w:p>
    <w:p w:rsidR="0092253D" w:rsidRDefault="00647243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  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Нефинансовые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активы учреждений соответствуют принятому и выбывшему имуществу, расхождений по учету на 01.01.2025 не выявлено.</w:t>
      </w:r>
    </w:p>
    <w:p w:rsidR="0092253D" w:rsidRDefault="00647243">
      <w:p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  <w:t xml:space="preserve">     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ф.0503772 "Сведения о суммах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взаимствования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".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Суммы заимствований не привлекались.</w:t>
      </w:r>
    </w:p>
    <w:p w:rsidR="0092253D" w:rsidRDefault="00647243">
      <w:p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92253D" w:rsidRDefault="00647243">
      <w:p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  <w:t xml:space="preserve">     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ф.0503773  "Сведения об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изменении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остатков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валюты баланса учреждения".</w:t>
      </w:r>
    </w:p>
    <w:p w:rsidR="0092253D" w:rsidRDefault="00647243">
      <w:p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</w:t>
      </w:r>
    </w:p>
    <w:p w:rsidR="0092253D" w:rsidRDefault="00647243">
      <w:pPr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92253D" w:rsidRDefault="00647243">
      <w:pPr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  <w:t xml:space="preserve">     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ф.0503775 " Сведения о принятых и неисполненных обязательствах"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ринятых и неисполненных обязательств в учреждении нет.</w:t>
      </w:r>
    </w:p>
    <w:p w:rsidR="0092253D" w:rsidRDefault="00647243">
      <w:pPr>
        <w:spacing w:after="200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  <w:t xml:space="preserve">     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ф. 0503779 "Сведения об остатках денежных средств учреждения".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Остаток денежных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 на счетах учреждения составляет 2 312 588,32 рублей .</w:t>
      </w:r>
    </w:p>
    <w:p w:rsidR="0092253D" w:rsidRDefault="00647243">
      <w:pPr>
        <w:spacing w:after="200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ф. 0503790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"Сведения об остатках незавершенного строительства, вложениях в объекты недвижимого имущества бюджетного ( автономного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чреждения"</w:t>
      </w:r>
    </w:p>
    <w:p w:rsidR="0092253D" w:rsidRDefault="00647243">
      <w:pPr>
        <w:spacing w:after="200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  ф.0503769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"Сведения по дебиторской и кре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диторской задолженности учреждения"</w:t>
      </w:r>
    </w:p>
    <w:p w:rsidR="0092253D" w:rsidRDefault="00647243">
      <w:pPr>
        <w:spacing w:after="200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дебету счета 20613000 "Расчеты по авансовым платежам"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междокументному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имеются расхождения на начало года в связи с переносом остатков на счет 20611000.</w:t>
      </w:r>
    </w:p>
    <w:p w:rsidR="0092253D" w:rsidRDefault="00647243">
      <w:pPr>
        <w:spacing w:after="200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Просроченная дебиторская и кредиторская задолженность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01.01.2025 года отсутствует.</w:t>
      </w:r>
    </w:p>
    <w:p w:rsidR="0092253D" w:rsidRDefault="00647243">
      <w:pPr>
        <w:spacing w:after="200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 По дебету счета 20600000 "Расчеты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авнсовым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платежам" числится переплата в сумме 1 868 592,69 руб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переплата образовалась в связи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оптатой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авансовых платежей по коммунальным услугам). </w:t>
      </w:r>
    </w:p>
    <w:p w:rsidR="0092253D" w:rsidRDefault="00647243">
      <w:pPr>
        <w:spacing w:after="200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кредиту счета 30200000 "Расчеты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принятым обязательствам" имеется задолженность в сумме 2 046 489,00 руб. ( которая является текущей, образовалась в основном в связи с несвоевременным предоставлением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оказанные услуги, выполненные работы, поздний срок оплаты платеж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ей).</w:t>
      </w:r>
    </w:p>
    <w:p w:rsidR="0092253D" w:rsidRDefault="00647243">
      <w:pPr>
        <w:spacing w:after="200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ф.0503721 "Финансовый результат деятельности учреждения"</w:t>
      </w:r>
    </w:p>
    <w:p w:rsidR="0092253D" w:rsidRDefault="00647243">
      <w:pPr>
        <w:spacing w:after="200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Прочие доходы КОСГУ 130 составили 483 138 631,68 руб.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 них 454 638 543,41 руб. "Субсидии на выполнение муниципального задания", 28 500 088,27  руб. родительская плата, прочая безвозмездная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помощь).</w:t>
      </w:r>
    </w:p>
    <w:p w:rsidR="0092253D" w:rsidRDefault="00647243">
      <w:pPr>
        <w:spacing w:after="200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Поступления капитального характера КОСГУ 162 составили 271 270 500,00 рублей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пристройка к МБУ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Гремяченская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СОШ).</w:t>
      </w:r>
    </w:p>
    <w:p w:rsidR="0092253D" w:rsidRDefault="00647243">
      <w:pPr>
        <w:spacing w:after="20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5 « Прочие вопросы деятельности учреждения»</w:t>
      </w:r>
    </w:p>
    <w:p w:rsidR="0092253D" w:rsidRDefault="00647243">
      <w:pPr>
        <w:spacing w:after="2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Таблица 4 «Сведения об особенностях ведения учреждением бухгалтерского учета»</w:t>
      </w:r>
    </w:p>
    <w:p w:rsidR="0092253D" w:rsidRDefault="00647243">
      <w:pPr>
        <w:spacing w:after="2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хгалтерский учет ведется в соответствии с нормативными документами:</w:t>
      </w:r>
    </w:p>
    <w:p w:rsidR="0092253D" w:rsidRDefault="00647243">
      <w:pPr>
        <w:spacing w:after="200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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12.01.1996 г. № 7-ФЗ «О некоммерческих организациях»;</w:t>
      </w:r>
    </w:p>
    <w:p w:rsidR="0092253D" w:rsidRDefault="00647243">
      <w:pPr>
        <w:spacing w:after="200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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Инструкция по применению Плана счетов бухгалтерского учета бюджетных учреждений, утвержденной Приказом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Минфина РФ от 16.1.2010 № 174н «Об утверждении Плана счетов бухгалтерского учета бюджетных учреждений и Инструкции по его применению»;</w:t>
      </w:r>
    </w:p>
    <w:p w:rsidR="0092253D" w:rsidRDefault="00647243">
      <w:pPr>
        <w:spacing w:after="200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Wingdings" w:eastAsia="Wingdings" w:hAnsi="Wingdings" w:cs="Wingdings"/>
          <w:color w:val="000000"/>
          <w:sz w:val="24"/>
          <w:szCs w:val="24"/>
        </w:rPr>
        <w:t>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Инструкция о порядке составления, представления годовой, квартальной бухгалтерской отчетности государственных (муницип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альных) бюджетных и автономных учреждений, утвержденной приказом Министерства финансов Российской Федерации от 25 марта 2011 г. № 33н (с учетом изменений).</w:t>
      </w:r>
      <w:r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Иные нормативные правовые акты.</w:t>
      </w:r>
    </w:p>
    <w:p w:rsidR="0092253D" w:rsidRDefault="00647243">
      <w:pPr>
        <w:spacing w:after="2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Таблица 5 «Сведения о результатах мероприятий внутреннего государст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венного (муниципального) финансового контроля»</w:t>
      </w:r>
    </w:p>
    <w:p w:rsidR="0092253D" w:rsidRDefault="00647243">
      <w:pPr>
        <w:spacing w:after="2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учреждении осуществляется предварительный, текущий и последующий виды контроля.</w:t>
      </w:r>
    </w:p>
    <w:p w:rsidR="0092253D" w:rsidRDefault="00647243">
      <w:pPr>
        <w:spacing w:after="2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Мероприятия предварительного контроля – системный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соответствием заключаемых учреждением договоров, доведенным объем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лимитов бюджетных обязательств.</w:t>
      </w:r>
    </w:p>
    <w:p w:rsidR="0092253D" w:rsidRDefault="00647243">
      <w:pPr>
        <w:spacing w:after="2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Мерой текущего контроля выступает регулярный анализ соответствия кассовых расходов, производимым фактическим расходам.</w:t>
      </w:r>
    </w:p>
    <w:p w:rsidR="0092253D" w:rsidRDefault="00647243">
      <w:pPr>
        <w:spacing w:after="2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Мерой последующего контроля является проверка соответствия перечня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номенклатуры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полученных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учреждением товаров (работ, услуг), перечню и номенклатуре оплачиваемых товаров (работ, услуг) согласно договору (счету)</w:t>
      </w:r>
    </w:p>
    <w:p w:rsidR="0092253D" w:rsidRDefault="00647243">
      <w:pPr>
        <w:spacing w:after="2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Таблица 6 «Сведения о проведении инвентаризации»</w:t>
      </w:r>
    </w:p>
    <w:p w:rsidR="0092253D" w:rsidRDefault="00647243">
      <w:pPr>
        <w:spacing w:after="2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Инвентаризация проводится один раз в год по всем направлениям деятельности перед соста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влением годового отчета. При проведении инвентаризации за 2024 год расхождений по данным бухгалтерского учета не выявлено.</w:t>
      </w:r>
    </w:p>
    <w:p w:rsidR="0092253D" w:rsidRDefault="00647243">
      <w:pPr>
        <w:spacing w:after="2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Таблица 7 «Сведения о результатах внешнего государственного (муниципального) финансового контроля.</w:t>
      </w:r>
    </w:p>
    <w:p w:rsidR="0092253D" w:rsidRDefault="00647243">
      <w:pPr>
        <w:spacing w:after="2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2024 году проводилась ревизия 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нтрольно-счетной комиссией Хохольского муниципального района.</w:t>
      </w:r>
    </w:p>
    <w:p w:rsidR="0092253D" w:rsidRDefault="00647243">
      <w:pPr>
        <w:spacing w:after="2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Нарушений не выявлено.</w:t>
      </w:r>
    </w:p>
    <w:p w:rsidR="0092253D" w:rsidRDefault="00647243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t> </w:t>
      </w:r>
    </w:p>
    <w:p w:rsidR="0092253D" w:rsidRDefault="00647243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t> </w:t>
      </w:r>
    </w:p>
    <w:p w:rsidR="0092253D" w:rsidRDefault="0064724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855"/>
        <w:gridCol w:w="433"/>
        <w:gridCol w:w="792"/>
        <w:gridCol w:w="457"/>
        <w:gridCol w:w="442"/>
        <w:gridCol w:w="889"/>
        <w:gridCol w:w="284"/>
        <w:gridCol w:w="709"/>
        <w:gridCol w:w="964"/>
        <w:gridCol w:w="526"/>
        <w:gridCol w:w="420"/>
        <w:gridCol w:w="713"/>
        <w:gridCol w:w="938"/>
        <w:gridCol w:w="1197"/>
        <w:gridCol w:w="813"/>
        <w:gridCol w:w="813"/>
        <w:gridCol w:w="75"/>
      </w:tblGrid>
      <w:tr w:rsidR="0092253D">
        <w:trPr>
          <w:gridAfter w:val="1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24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Руководитель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      О.А. Коротких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(расшифровка 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345"/>
        </w:trPr>
        <w:tc>
          <w:tcPr>
            <w:tcW w:w="0" w:type="auto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Руководитель планово -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экономической службы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24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r>
              <w:t xml:space="preserve">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34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(расшифровка 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24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24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Главный бухгалтер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       Е.П.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Кострубова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(расшифровка 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9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24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8"/>
                <w:szCs w:val="18"/>
              </w:rPr>
              <w:t>Централизованная бухгалтерия</w:t>
            </w: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210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210"/>
        </w:trPr>
        <w:tc>
          <w:tcPr>
            <w:tcW w:w="0" w:type="auto"/>
            <w:gridSpan w:val="12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(наименование, ОГРН, ИНН, КПП, местонахождение)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КПП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9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0"/>
                <w:szCs w:val="1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330"/>
        </w:trPr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Руководитель 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br/>
              <w:t>(уполномоченное лицо)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345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(должность)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(расшифровка 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Исполнитель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(должность)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(подпись)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(расшифровка подписи)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(телефон, </w:t>
            </w:r>
            <w:proofErr w:type="spellStart"/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e-mail</w:t>
            </w:r>
            <w:proofErr w:type="spellEnd"/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92253D">
        <w:trPr>
          <w:gridAfter w:val="1"/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10 февраля 2025 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 </w:t>
            </w:r>
          </w:p>
        </w:tc>
      </w:tr>
    </w:tbl>
    <w:p w:rsidR="0092253D" w:rsidRDefault="00647243">
      <w:pPr>
        <w:rPr>
          <w:rFonts w:ascii="Times New Roman" w:eastAsia="Times New Roman" w:hAnsi="Times New Roman" w:cs="Times New Roman"/>
          <w:sz w:val="24"/>
        </w:rPr>
      </w:pP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92253D" w:rsidRDefault="00647243">
      <w:pPr>
        <w:rPr>
          <w:rFonts w:ascii="Times New Roman" w:eastAsia="Times New Roman" w:hAnsi="Times New Roman" w:cs="Times New Roman"/>
          <w:sz w:val="24"/>
        </w:rPr>
      </w:pP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92253D" w:rsidRDefault="00647243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t> </w:t>
      </w:r>
    </w:p>
    <w:p w:rsidR="0092253D" w:rsidRDefault="00647243">
      <w:pPr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color w:val="000000"/>
        </w:rPr>
        <w:t> </w:t>
      </w:r>
    </w:p>
    <w:p w:rsidR="0092253D" w:rsidRDefault="0092253D"/>
    <w:p w:rsidR="0092253D" w:rsidRDefault="00647243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42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30"/>
        <w:gridCol w:w="3840"/>
        <w:gridCol w:w="266"/>
        <w:gridCol w:w="2559"/>
        <w:gridCol w:w="60"/>
      </w:tblGrid>
      <w:tr w:rsidR="0092253D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2253D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2253D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Руководитель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92253D"/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Коротких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Ольга Александровна</w:t>
            </w:r>
          </w:p>
        </w:tc>
      </w:tr>
      <w:tr w:rsidR="0092253D">
        <w:trPr>
          <w:trHeight w:val="248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24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92253D">
        <w:trPr>
          <w:trHeight w:val="15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65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253D">
        <w:trPr>
          <w:trHeight w:val="25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Руководитель планово-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92253D">
            <w:pPr>
              <w:rPr>
                <w:sz w:val="24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92253D">
            <w:pPr>
              <w:rPr>
                <w:sz w:val="24"/>
              </w:rPr>
            </w:pPr>
          </w:p>
        </w:tc>
      </w:tr>
      <w:tr w:rsidR="0092253D">
        <w:trPr>
          <w:trHeight w:val="148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экономической службы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92253D">
        <w:trPr>
          <w:trHeight w:val="80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65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8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253D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Главный</w:t>
            </w:r>
          </w:p>
        </w:tc>
        <w:tc>
          <w:tcPr>
            <w:tcW w:w="383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92253D">
            <w:pPr>
              <w:rPr>
                <w:sz w:val="24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Кострубова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Елизавета Петровна</w:t>
            </w:r>
          </w:p>
        </w:tc>
      </w:tr>
      <w:tr w:rsidR="0092253D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бухгалтер</w:t>
            </w:r>
          </w:p>
        </w:tc>
        <w:tc>
          <w:tcPr>
            <w:tcW w:w="38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92253D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8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1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253D"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253D" w:rsidRDefault="0092253D"/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253D" w:rsidRDefault="0092253D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253D" w:rsidRDefault="0092253D"/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253D" w:rsidRDefault="0092253D"/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253D" w:rsidRDefault="0092253D"/>
        </w:tc>
      </w:tr>
    </w:tbl>
    <w:p w:rsidR="0092253D" w:rsidRDefault="00647243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849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6412"/>
        <w:gridCol w:w="808"/>
        <w:gridCol w:w="2362"/>
        <w:gridCol w:w="276"/>
      </w:tblGrid>
      <w:tr w:rsidR="0092253D">
        <w:trPr>
          <w:trHeight w:val="260"/>
        </w:trPr>
        <w:tc>
          <w:tcPr>
            <w:tcW w:w="64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spacing w:before="240" w:beforeAutospacing="1" w:after="240" w:afterAutospacing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Централизованная бухгалтерия</w:t>
            </w:r>
          </w:p>
        </w:tc>
        <w:tc>
          <w:tcPr>
            <w:tcW w:w="8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ОГРН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24"/>
              </w:rPr>
            </w:pPr>
          </w:p>
        </w:tc>
        <w:tc>
          <w:tcPr>
            <w:tcW w:w="2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2253D">
        <w:trPr>
          <w:trHeight w:val="306"/>
        </w:trPr>
        <w:tc>
          <w:tcPr>
            <w:tcW w:w="6412" w:type="dxa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              </w:t>
            </w:r>
          </w:p>
        </w:tc>
        <w:tc>
          <w:tcPr>
            <w:tcW w:w="8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2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92253D">
            <w:pPr>
              <w:rPr>
                <w:sz w:val="24"/>
              </w:rPr>
            </w:pPr>
          </w:p>
        </w:tc>
      </w:tr>
      <w:tr w:rsidR="0092253D">
        <w:trPr>
          <w:trHeight w:val="327"/>
        </w:trPr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(наименование, местонахождение)</w:t>
            </w:r>
          </w:p>
        </w:tc>
        <w:tc>
          <w:tcPr>
            <w:tcW w:w="8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2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24"/>
              </w:rPr>
            </w:pPr>
          </w:p>
        </w:tc>
        <w:tc>
          <w:tcPr>
            <w:tcW w:w="2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92253D">
            <w:pPr>
              <w:rPr>
                <w:sz w:val="24"/>
              </w:rPr>
            </w:pPr>
          </w:p>
        </w:tc>
      </w:tr>
      <w:tr w:rsidR="0092253D">
        <w:trPr>
          <w:trHeight w:val="260"/>
        </w:trPr>
        <w:tc>
          <w:tcPr>
            <w:tcW w:w="64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92253D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92253D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92253D">
            <w:pPr>
              <w:rPr>
                <w:sz w:val="24"/>
              </w:rPr>
            </w:pPr>
          </w:p>
        </w:tc>
      </w:tr>
    </w:tbl>
    <w:p w:rsidR="0092253D" w:rsidRDefault="00647243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2253D" w:rsidRDefault="00647243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780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1275"/>
        <w:gridCol w:w="1958"/>
        <w:gridCol w:w="189"/>
        <w:gridCol w:w="3598"/>
        <w:gridCol w:w="262"/>
        <w:gridCol w:w="2498"/>
      </w:tblGrid>
      <w:tr w:rsidR="0092253D">
        <w:trPr>
          <w:trHeight w:val="75"/>
          <w:tblCellSpacing w:w="15" w:type="dxa"/>
        </w:trPr>
        <w:tc>
          <w:tcPr>
            <w:tcW w:w="1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Руководитель</w:t>
            </w:r>
          </w:p>
        </w:tc>
        <w:tc>
          <w:tcPr>
            <w:tcW w:w="19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253D" w:rsidRDefault="0092253D">
            <w:pPr>
              <w:rPr>
                <w:sz w:val="8"/>
              </w:rPr>
            </w:pPr>
          </w:p>
        </w:tc>
        <w:tc>
          <w:tcPr>
            <w:tcW w:w="23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253D" w:rsidRDefault="0092253D">
            <w:pPr>
              <w:rPr>
                <w:sz w:val="8"/>
              </w:rPr>
            </w:pPr>
          </w:p>
        </w:tc>
      </w:tr>
      <w:tr w:rsidR="0092253D">
        <w:trPr>
          <w:trHeight w:val="195"/>
          <w:tblCellSpacing w:w="15" w:type="dxa"/>
        </w:trPr>
        <w:tc>
          <w:tcPr>
            <w:tcW w:w="1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253D" w:rsidRDefault="00647243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(уполномоченное лицо)</w:t>
            </w:r>
          </w:p>
        </w:tc>
        <w:tc>
          <w:tcPr>
            <w:tcW w:w="1929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253D" w:rsidRDefault="00647243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15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253D" w:rsidRDefault="00647243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570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253D" w:rsidRDefault="00647243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(подпись) </w:t>
            </w:r>
          </w:p>
        </w:tc>
        <w:tc>
          <w:tcPr>
            <w:tcW w:w="23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253D" w:rsidRDefault="00647243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54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253D" w:rsidRDefault="00647243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92253D" w:rsidRDefault="00647243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810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1086"/>
        <w:gridCol w:w="1831"/>
        <w:gridCol w:w="256"/>
        <w:gridCol w:w="2900"/>
        <w:gridCol w:w="256"/>
        <w:gridCol w:w="565"/>
        <w:gridCol w:w="513"/>
        <w:gridCol w:w="487"/>
        <w:gridCol w:w="319"/>
        <w:gridCol w:w="1597"/>
      </w:tblGrid>
      <w:tr w:rsidR="0092253D">
        <w:trPr>
          <w:trHeight w:val="80"/>
        </w:trPr>
        <w:tc>
          <w:tcPr>
            <w:tcW w:w="11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92253D">
            <w:pPr>
              <w:rPr>
                <w:sz w:val="8"/>
              </w:rPr>
            </w:pPr>
          </w:p>
        </w:tc>
        <w:tc>
          <w:tcPr>
            <w:tcW w:w="151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253D" w:rsidRDefault="0092253D">
            <w:pPr>
              <w:rPr>
                <w:sz w:val="8"/>
              </w:rPr>
            </w:pPr>
          </w:p>
        </w:tc>
        <w:tc>
          <w:tcPr>
            <w:tcW w:w="22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2253D">
        <w:trPr>
          <w:trHeight w:val="60"/>
        </w:trPr>
        <w:tc>
          <w:tcPr>
            <w:tcW w:w="11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253D" w:rsidRDefault="00647243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4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253D" w:rsidRDefault="00647243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253D">
        <w:trPr>
          <w:trHeight w:val="486"/>
        </w:trPr>
        <w:tc>
          <w:tcPr>
            <w:tcW w:w="11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главный специалист по учету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253D" w:rsidRDefault="0092253D">
            <w:pPr>
              <w:rPr>
                <w:sz w:val="24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Гончарова Лариса Николаевна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ind w:left="-32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253D" w:rsidRDefault="00647243">
            <w:pPr>
              <w:ind w:left="-32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8(47371)41-4-40</w:t>
            </w:r>
          </w:p>
        </w:tc>
      </w:tr>
      <w:tr w:rsidR="0092253D">
        <w:trPr>
          <w:trHeight w:val="226"/>
        </w:trPr>
        <w:tc>
          <w:tcPr>
            <w:tcW w:w="118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2253D" w:rsidRDefault="0092253D"/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2253D" w:rsidRDefault="00647243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  <w:tc>
          <w:tcPr>
            <w:tcW w:w="3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ind w:left="-32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2253D" w:rsidRDefault="00647243">
            <w:pPr>
              <w:ind w:left="-32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(телефон,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e-mail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92253D">
        <w:trPr>
          <w:trHeight w:val="74"/>
        </w:trPr>
        <w:tc>
          <w:tcPr>
            <w:tcW w:w="301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4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2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253D" w:rsidRDefault="0092253D">
            <w:pPr>
              <w:rPr>
                <w:sz w:val="8"/>
              </w:rPr>
            </w:pPr>
          </w:p>
        </w:tc>
      </w:tr>
      <w:tr w:rsidR="0092253D">
        <w:tc>
          <w:tcPr>
            <w:tcW w:w="5889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253D" w:rsidRDefault="00647243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_____"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_________________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____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3926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253D" w:rsidRDefault="0092253D"/>
        </w:tc>
      </w:tr>
      <w:tr w:rsidR="0092253D"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253D" w:rsidRDefault="0092253D"/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253D" w:rsidRDefault="0092253D"/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253D" w:rsidRDefault="0092253D"/>
        </w:tc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253D" w:rsidRDefault="0092253D"/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253D" w:rsidRDefault="0092253D"/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253D" w:rsidRDefault="0092253D"/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253D" w:rsidRDefault="0092253D"/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253D" w:rsidRDefault="0092253D"/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253D" w:rsidRDefault="0092253D"/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253D" w:rsidRDefault="0092253D"/>
        </w:tc>
      </w:tr>
    </w:tbl>
    <w:p w:rsidR="0092253D" w:rsidRDefault="00647243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 </w:t>
      </w:r>
    </w:p>
    <w:p w:rsidR="0092253D" w:rsidRDefault="00647243">
      <w:r>
        <w:rPr>
          <w:rFonts w:ascii="Times New Roman" w:eastAsia="Times New Roman" w:hAnsi="Times New Roman" w:cs="Times New Roman"/>
          <w:sz w:val="16"/>
          <w:szCs w:val="16"/>
        </w:rPr>
        <w:t> </w:t>
      </w:r>
    </w:p>
    <w:sectPr w:rsidR="0092253D" w:rsidSect="0092253D">
      <w:pgSz w:w="15840" w:h="12240" w:orient="landscape"/>
      <w:pgMar w:top="1133" w:right="850" w:bottom="1133" w:left="17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characterSpacingControl w:val="doNotCompress"/>
  <w:compat>
    <w:useFELayout/>
  </w:compat>
  <w:rsids>
    <w:rsidRoot w:val="0092253D"/>
    <w:rsid w:val="00647243"/>
    <w:rsid w:val="00922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22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92253D"/>
  </w:style>
  <w:style w:type="character" w:styleId="a3">
    <w:name w:val="Hyperlink"/>
    <w:rsid w:val="0092253D"/>
    <w:rPr>
      <w:color w:val="0000FF"/>
      <w:u w:val="single"/>
    </w:rPr>
  </w:style>
  <w:style w:type="table" w:styleId="1">
    <w:name w:val="Table Simple 1"/>
    <w:basedOn w:val="a1"/>
    <w:rsid w:val="009225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2006</Words>
  <Characters>11440</Characters>
  <Application>Microsoft Office Word</Application>
  <DocSecurity>0</DocSecurity>
  <Lines>95</Lines>
  <Paragraphs>26</Paragraphs>
  <ScaleCrop>false</ScaleCrop>
  <Company/>
  <LinksUpToDate>false</LinksUpToDate>
  <CharactersWithSpaces>13420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2025-04-01T10:24:00Z</dcterms:created>
  <dcterms:modified xsi:type="dcterms:W3CDTF">2025-04-01T10:24:00Z</dcterms:modified>
</cp:coreProperties>
</file>