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D31B8E">
        <w:t>25</w:t>
      </w:r>
      <w:r w:rsidR="008646C9" w:rsidRPr="008646C9">
        <w:t xml:space="preserve">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</w:t>
      </w:r>
      <w:bookmarkStart w:id="0" w:name="_GoBack"/>
      <w:bookmarkEnd w:id="0"/>
      <w:r>
        <w:t xml:space="preserve">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Default="00F2247C" w:rsidP="00F2247C">
      <w:pPr>
        <w:jc w:val="right"/>
      </w:pPr>
      <w:r>
        <w:t>От 27.12.2016 года № 43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201</w:t>
      </w:r>
      <w:r w:rsidR="009F2270" w:rsidRPr="009A6E29">
        <w:rPr>
          <w:b/>
          <w:sz w:val="28"/>
          <w:szCs w:val="28"/>
        </w:rPr>
        <w:t>7</w:t>
      </w:r>
      <w:r w:rsidRPr="009A6E29">
        <w:rPr>
          <w:b/>
          <w:sz w:val="28"/>
          <w:szCs w:val="28"/>
        </w:rPr>
        <w:t xml:space="preserve"> год</w:t>
      </w:r>
      <w:r w:rsidR="00DF4EC3" w:rsidRPr="009A6E29">
        <w:rPr>
          <w:b/>
          <w:sz w:val="28"/>
          <w:szCs w:val="28"/>
        </w:rPr>
        <w:t>.</w:t>
      </w:r>
    </w:p>
    <w:p w:rsidR="0035085E" w:rsidRDefault="0035085E" w:rsidP="0035085E">
      <w:pPr>
        <w:jc w:val="center"/>
        <w:rPr>
          <w:b/>
          <w:sz w:val="28"/>
          <w:szCs w:val="28"/>
        </w:rPr>
      </w:pPr>
    </w:p>
    <w:p w:rsidR="00F2247C" w:rsidRPr="009A6E29" w:rsidRDefault="00F2247C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2017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Default="00F2247C" w:rsidP="009C6862">
      <w:pPr>
        <w:spacing w:line="360" w:lineRule="auto"/>
        <w:jc w:val="both"/>
        <w:rPr>
          <w:sz w:val="28"/>
          <w:szCs w:val="28"/>
        </w:rPr>
      </w:pPr>
      <w:r w:rsidRPr="004C65D2">
        <w:rPr>
          <w:sz w:val="28"/>
          <w:szCs w:val="28"/>
        </w:rPr>
        <w:pict>
          <v:shape id="_x0000_i1025" type="#_x0000_t75" style="width:17.3pt;height:20.95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F2247C" w:rsidRPr="00DF4EC3" w:rsidRDefault="00F2247C" w:rsidP="009C6862">
      <w:pPr>
        <w:spacing w:line="360" w:lineRule="auto"/>
        <w:jc w:val="both"/>
        <w:rPr>
          <w:sz w:val="28"/>
          <w:szCs w:val="28"/>
        </w:rPr>
      </w:pPr>
    </w:p>
    <w:p w:rsidR="00A105BF" w:rsidRPr="00996E6F" w:rsidRDefault="00F2247C" w:rsidP="009C6862">
      <w:pPr>
        <w:spacing w:line="360" w:lineRule="auto"/>
        <w:jc w:val="both"/>
        <w:rPr>
          <w:sz w:val="28"/>
          <w:szCs w:val="28"/>
        </w:rPr>
      </w:pPr>
      <w:r w:rsidRPr="004C65D2">
        <w:rPr>
          <w:sz w:val="28"/>
          <w:szCs w:val="28"/>
        </w:rPr>
        <w:pict>
          <v:shape id="_x0000_i1026" type="#_x0000_t75" style="width:18.25pt;height:20.95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461CC9">
        <w:rPr>
          <w:rFonts w:ascii="Times New Roman" w:hAnsi="Times New Roman" w:cs="Times New Roman"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2629F8">
        <w:rPr>
          <w:b/>
          <w:bCs/>
          <w:sz w:val="28"/>
          <w:szCs w:val="28"/>
          <w:lang w:val="en-US"/>
        </w:rPr>
        <w:t>j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E97707">
        <w:rPr>
          <w:b/>
          <w:sz w:val="28"/>
          <w:szCs w:val="28"/>
        </w:rPr>
        <w:t>КП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677844" w:rsidRPr="00677844">
        <w:rPr>
          <w:b/>
          <w:sz w:val="28"/>
          <w:szCs w:val="28"/>
        </w:rPr>
        <w:t>ЭТО ЕДДСj</w:t>
      </w:r>
      <w:r w:rsidR="00677844">
        <w:rPr>
          <w:b/>
          <w:sz w:val="28"/>
          <w:szCs w:val="28"/>
        </w:rPr>
        <w:t>+</w:t>
      </w:r>
      <w:r w:rsidR="002017E1">
        <w:rPr>
          <w:b/>
          <w:sz w:val="28"/>
          <w:szCs w:val="28"/>
        </w:rPr>
        <w:t xml:space="preserve"> 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труда работников муниципальных учреждений культуры с повышением в соответствии с Указом Президента Российской Федерации от 07 мая 2012 г. N 597 "О мероприятиях по реализации государственной социальной политики"</w:t>
      </w:r>
      <w:r w:rsidR="004E6016">
        <w:rPr>
          <w:rFonts w:ascii="Times New Roman" w:hAnsi="Times New Roman" w:cs="Times New Roman"/>
          <w:sz w:val="28"/>
          <w:szCs w:val="28"/>
        </w:rPr>
        <w:t>;</w:t>
      </w:r>
      <w:r w:rsidRPr="006C21C5">
        <w:rPr>
          <w:rFonts w:ascii="Times New Roman" w:hAnsi="Times New Roman" w:cs="Times New Roman"/>
          <w:sz w:val="28"/>
          <w:szCs w:val="28"/>
        </w:rPr>
        <w:t xml:space="preserve">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по городским округам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 (с 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начислениями)</w:t>
      </w:r>
      <w:r w:rsidR="009F227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а так же 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сотрудников принятым по договорам</w:t>
      </w:r>
      <w:r w:rsidR="00283B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>
        <w:rPr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Pr="006C21C5" w:rsidRDefault="00CD7475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CA7CEC" w:rsidRPr="00CA7CEC">
        <w:rPr>
          <w:rFonts w:ascii="Times New Roman" w:hAnsi="Times New Roman" w:cs="Times New Roman"/>
          <w:sz w:val="28"/>
          <w:szCs w:val="28"/>
        </w:rPr>
        <w:t>- объем расходов j-го поселения на приобретение котельно-печного топлива, определяемый с учетом индексации кассовых расходов за отчетный финансовый год на прогнозируемый уровень инфляции;</w:t>
      </w:r>
    </w:p>
    <w:p w:rsidR="0035085E" w:rsidRPr="006C21C5" w:rsidRDefault="00CA7CEC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 </w:t>
      </w:r>
      <w:r w:rsidR="0035085E" w:rsidRPr="006C21C5">
        <w:rPr>
          <w:bCs/>
          <w:iCs/>
          <w:sz w:val="28"/>
          <w:szCs w:val="28"/>
        </w:rPr>
        <w:t xml:space="preserve">МПj - </w:t>
      </w:r>
      <w:r w:rsidR="0035085E" w:rsidRPr="006C21C5">
        <w:rPr>
          <w:sz w:val="28"/>
          <w:szCs w:val="28"/>
        </w:rPr>
        <w:t xml:space="preserve">объем расходов </w:t>
      </w:r>
      <w:r w:rsidR="0035085E" w:rsidRPr="006C21C5">
        <w:rPr>
          <w:sz w:val="28"/>
          <w:szCs w:val="28"/>
          <w:lang w:val="en-US"/>
        </w:rPr>
        <w:t>j</w:t>
      </w:r>
      <w:r w:rsidR="0035085E"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201</w:t>
      </w:r>
      <w:r w:rsidR="000615C8">
        <w:rPr>
          <w:sz w:val="28"/>
          <w:szCs w:val="28"/>
        </w:rPr>
        <w:t>7</w:t>
      </w:r>
      <w:r w:rsidR="0035085E"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lastRenderedPageBreak/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j-го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01.01.201</w:t>
      </w:r>
      <w:r w:rsidR="00340119" w:rsidRPr="00340119">
        <w:rPr>
          <w:sz w:val="28"/>
          <w:szCs w:val="28"/>
        </w:rPr>
        <w:t>8</w:t>
      </w:r>
      <w:r w:rsidRPr="006C21C5">
        <w:rPr>
          <w:sz w:val="28"/>
          <w:szCs w:val="28"/>
        </w:rPr>
        <w:t xml:space="preserve"> года и утвержденных ставок налога на 201</w:t>
      </w:r>
      <w:r w:rsidR="00340119" w:rsidRPr="00340119">
        <w:rPr>
          <w:sz w:val="28"/>
          <w:szCs w:val="28"/>
        </w:rPr>
        <w:t>7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677844" w:rsidRPr="00AD265E" w:rsidRDefault="00677844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77844">
        <w:rPr>
          <w:sz w:val="28"/>
          <w:szCs w:val="28"/>
        </w:rPr>
        <w:t>ЭТО ЕДДСj</w:t>
      </w:r>
      <w:r>
        <w:rPr>
          <w:sz w:val="28"/>
          <w:szCs w:val="28"/>
        </w:rPr>
        <w:t xml:space="preserve">- объем расходов </w:t>
      </w:r>
      <w:r w:rsidRPr="006F3E93">
        <w:rPr>
          <w:sz w:val="28"/>
          <w:szCs w:val="28"/>
        </w:rPr>
        <w:t>j-го поселения</w:t>
      </w:r>
      <w:r>
        <w:rPr>
          <w:sz w:val="28"/>
          <w:szCs w:val="28"/>
        </w:rPr>
        <w:t xml:space="preserve"> на обеспечение эксплуатационно-технического</w:t>
      </w:r>
      <w:r w:rsidR="00AD265E">
        <w:rPr>
          <w:sz w:val="28"/>
          <w:szCs w:val="28"/>
        </w:rPr>
        <w:t xml:space="preserve"> обслуживания каналов </w:t>
      </w:r>
      <w:r w:rsidR="00AD265E">
        <w:rPr>
          <w:sz w:val="28"/>
          <w:szCs w:val="28"/>
          <w:lang w:val="en-US"/>
        </w:rPr>
        <w:t>GSM</w:t>
      </w:r>
      <w:r w:rsidR="00AD265E">
        <w:rPr>
          <w:sz w:val="28"/>
          <w:szCs w:val="28"/>
        </w:rPr>
        <w:t xml:space="preserve"> для дистанционного включения</w:t>
      </w:r>
      <w:r w:rsidR="00360447">
        <w:rPr>
          <w:sz w:val="28"/>
          <w:szCs w:val="28"/>
        </w:rPr>
        <w:t xml:space="preserve"> системы ЕДДС и </w:t>
      </w:r>
      <w:r w:rsidR="009E1A5A">
        <w:rPr>
          <w:sz w:val="28"/>
          <w:szCs w:val="28"/>
        </w:rPr>
        <w:t>технической поддержки</w:t>
      </w:r>
      <w:r w:rsidR="00360447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F2247C" w:rsidP="0035085E">
      <w:pPr>
        <w:spacing w:line="360" w:lineRule="auto"/>
        <w:jc w:val="both"/>
        <w:rPr>
          <w:sz w:val="28"/>
          <w:szCs w:val="28"/>
        </w:rPr>
      </w:pPr>
      <w:r w:rsidRPr="004C65D2">
        <w:rPr>
          <w:sz w:val="28"/>
          <w:szCs w:val="28"/>
        </w:rPr>
        <w:pict>
          <v:shape id="_x0000_i1027" type="#_x0000_t75" style="width:129.4pt;height:45.55pt">
            <v:imagedata r:id="rId9" o:title=""/>
          </v:shape>
        </w:pict>
      </w:r>
      <w:r w:rsidR="0035085E" w:rsidRPr="00476C0C">
        <w:rPr>
          <w:sz w:val="28"/>
          <w:szCs w:val="28"/>
        </w:rPr>
        <w:t>х</w:t>
      </w:r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 w:rsidR="00476C0C" w:rsidRPr="00476C0C">
        <w:rPr>
          <w:sz w:val="28"/>
          <w:szCs w:val="28"/>
        </w:rPr>
        <w:t>47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F2247C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4C65D2">
        <w:rPr>
          <w:sz w:val="28"/>
          <w:szCs w:val="28"/>
        </w:rPr>
        <w:pict>
          <v:shape id="_x0000_i1028" type="#_x0000_t75" style="width:38.3pt;height:19.1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 w:rsidR="00476C0C">
        <w:rPr>
          <w:sz w:val="28"/>
          <w:szCs w:val="28"/>
        </w:rPr>
        <w:t>47</w:t>
      </w:r>
      <w:r w:rsidR="007A754E" w:rsidRPr="007A754E">
        <w:rPr>
          <w:sz w:val="28"/>
          <w:szCs w:val="28"/>
        </w:rPr>
        <w:t xml:space="preserve"> 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201</w:t>
      </w:r>
      <w:r w:rsidR="003746C1">
        <w:rPr>
          <w:sz w:val="28"/>
          <w:szCs w:val="28"/>
        </w:rPr>
        <w:t>5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имущества;</w:t>
      </w:r>
    </w:p>
    <w:p w:rsidR="0035085E" w:rsidRPr="006F3E93" w:rsidRDefault="00F2247C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4C65D2">
        <w:rPr>
          <w:sz w:val="28"/>
          <w:szCs w:val="28"/>
        </w:rPr>
        <w:pict>
          <v:shape id="_x0000_i1029" type="#_x0000_t75" style="width:27.35pt;height:19.1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на 01.01.201</w:t>
      </w:r>
      <w:r w:rsidR="003746C1">
        <w:rPr>
          <w:sz w:val="28"/>
          <w:szCs w:val="28"/>
        </w:rPr>
        <w:t>6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F2247C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4C65D2">
        <w:rPr>
          <w:sz w:val="28"/>
          <w:szCs w:val="28"/>
        </w:rPr>
        <w:pict>
          <v:shape id="_x0000_i1030" type="#_x0000_t75" style="width:23.7pt;height:18.2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201</w:t>
      </w:r>
      <w:r w:rsidR="003D377B">
        <w:rPr>
          <w:sz w:val="28"/>
          <w:szCs w:val="28"/>
        </w:rPr>
        <w:t>7</w:t>
      </w:r>
      <w:r w:rsidRPr="006F3E93">
        <w:rPr>
          <w:sz w:val="28"/>
          <w:szCs w:val="28"/>
        </w:rPr>
        <w:t> год не учитываются расходы, произведенные в 201</w:t>
      </w:r>
      <w:r w:rsidR="003D377B">
        <w:rPr>
          <w:sz w:val="28"/>
          <w:szCs w:val="28"/>
        </w:rPr>
        <w:t>5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201</w:t>
      </w:r>
      <w:r w:rsidR="003D377B">
        <w:rPr>
          <w:rFonts w:ascii="Times New Roman" w:hAnsi="Times New Roman" w:cs="Times New Roman"/>
          <w:sz w:val="28"/>
          <w:szCs w:val="28"/>
        </w:rPr>
        <w:t>7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35085E" w:rsidRPr="00E94153" w:rsidRDefault="00DA1549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AC6BBD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B46635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AC6BBD">
        <w:rPr>
          <w:rFonts w:ascii="Times New Roman" w:hAnsi="Times New Roman" w:cs="Times New Roman"/>
          <w:sz w:val="28"/>
          <w:szCs w:val="28"/>
        </w:rPr>
        <w:t>3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целевой статье 05 1 </w:t>
      </w:r>
      <w:r w:rsidR="007460EC">
        <w:rPr>
          <w:rFonts w:ascii="Times New Roman" w:hAnsi="Times New Roman" w:cs="Times New Roman"/>
          <w:sz w:val="28"/>
          <w:szCs w:val="28"/>
        </w:rPr>
        <w:t xml:space="preserve">03 </w:t>
      </w:r>
      <w:r w:rsidRPr="005052DF">
        <w:rPr>
          <w:rFonts w:ascii="Times New Roman" w:hAnsi="Times New Roman" w:cs="Times New Roman"/>
          <w:sz w:val="28"/>
          <w:szCs w:val="28"/>
        </w:rPr>
        <w:t>80</w:t>
      </w:r>
      <w:r w:rsidR="002462E2" w:rsidRPr="005052DF">
        <w:rPr>
          <w:rFonts w:ascii="Times New Roman" w:hAnsi="Times New Roman" w:cs="Times New Roman"/>
          <w:sz w:val="28"/>
          <w:szCs w:val="28"/>
        </w:rPr>
        <w:t>64</w:t>
      </w:r>
      <w:r w:rsidR="00AC6BBD" w:rsidRPr="005052DF">
        <w:rPr>
          <w:rFonts w:ascii="Times New Roman" w:hAnsi="Times New Roman" w:cs="Times New Roman"/>
          <w:sz w:val="28"/>
          <w:szCs w:val="28"/>
        </w:rPr>
        <w:t>0</w:t>
      </w:r>
      <w:r w:rsidRPr="005052DF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 xml:space="preserve">Прочие межбюджетные </w:t>
      </w:r>
      <w:r w:rsidR="00AC6BBD" w:rsidRPr="00AC6BBD">
        <w:rPr>
          <w:rFonts w:ascii="Times New Roman" w:hAnsi="Times New Roman" w:cs="Times New Roman"/>
          <w:sz w:val="28"/>
          <w:szCs w:val="28"/>
        </w:rPr>
        <w:lastRenderedPageBreak/>
        <w:t>трансферты, передаваемые бюджетам поселений Хохольского муниципального района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AC6BBD">
        <w:rPr>
          <w:rFonts w:ascii="Times New Roman" w:hAnsi="Times New Roman" w:cs="Times New Roman"/>
          <w:sz w:val="28"/>
          <w:szCs w:val="28"/>
        </w:rPr>
        <w:t>540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2462E2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BD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7F676A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</w:t>
      </w:r>
      <w:r w:rsidR="0078305B">
        <w:rPr>
          <w:rFonts w:ascii="Times New Roman" w:hAnsi="Times New Roman" w:cs="Times New Roman"/>
          <w:sz w:val="28"/>
          <w:szCs w:val="28"/>
        </w:rPr>
        <w:t xml:space="preserve">ации доходов бюджетов 000 2 02 </w:t>
      </w:r>
      <w:r w:rsidR="00AC6BBD" w:rsidRPr="00AC6BBD">
        <w:rPr>
          <w:rFonts w:ascii="Times New Roman" w:hAnsi="Times New Roman" w:cs="Times New Roman"/>
          <w:sz w:val="28"/>
          <w:szCs w:val="28"/>
        </w:rPr>
        <w:t>4</w:t>
      </w:r>
      <w:r w:rsidRPr="00AC6BBD">
        <w:rPr>
          <w:rFonts w:ascii="Times New Roman" w:hAnsi="Times New Roman" w:cs="Times New Roman"/>
          <w:sz w:val="28"/>
          <w:szCs w:val="28"/>
        </w:rPr>
        <w:t>999</w:t>
      </w:r>
      <w:r w:rsidR="0078305B">
        <w:rPr>
          <w:rFonts w:ascii="Times New Roman" w:hAnsi="Times New Roman" w:cs="Times New Roman"/>
          <w:sz w:val="28"/>
          <w:szCs w:val="28"/>
        </w:rPr>
        <w:t>9</w:t>
      </w:r>
      <w:r w:rsidRPr="00AC6BBD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78305B">
        <w:rPr>
          <w:rFonts w:ascii="Times New Roman" w:hAnsi="Times New Roman" w:cs="Times New Roman"/>
          <w:sz w:val="28"/>
          <w:szCs w:val="28"/>
        </w:rPr>
        <w:t>,</w:t>
      </w:r>
      <w:r w:rsidR="0078305B" w:rsidRPr="0078305B">
        <w:t xml:space="preserve"> </w:t>
      </w:r>
      <w:r w:rsidR="0078305B" w:rsidRPr="002462E2">
        <w:rPr>
          <w:rFonts w:ascii="Times New Roman" w:hAnsi="Times New Roman" w:cs="Times New Roman"/>
          <w:sz w:val="28"/>
          <w:szCs w:val="28"/>
        </w:rPr>
        <w:t>передаваемые бюджетам</w:t>
      </w:r>
      <w:r w:rsidRPr="002462E2">
        <w:rPr>
          <w:rFonts w:ascii="Times New Roman" w:hAnsi="Times New Roman" w:cs="Times New Roman"/>
          <w:sz w:val="28"/>
          <w:szCs w:val="28"/>
        </w:rPr>
        <w:t>».</w:t>
      </w:r>
    </w:p>
    <w:p w:rsidR="007D487F" w:rsidRPr="00340119" w:rsidRDefault="0035085E" w:rsidP="00340119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</w:t>
      </w:r>
      <w:r w:rsidR="007D487F" w:rsidRPr="0034011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340119">
        <w:rPr>
          <w:color w:val="000000"/>
        </w:rPr>
        <w:t>7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13"/>
      <w:footerReference w:type="default" r:id="rId14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902" w:rsidRDefault="00916902">
      <w:r>
        <w:separator/>
      </w:r>
    </w:p>
  </w:endnote>
  <w:endnote w:type="continuationSeparator" w:id="0">
    <w:p w:rsidR="00916902" w:rsidRDefault="00916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5" w:rsidRDefault="004C65D2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7334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3345" w:rsidRDefault="00A73345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5" w:rsidRDefault="004C65D2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7334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247C">
      <w:rPr>
        <w:rStyle w:val="a6"/>
        <w:noProof/>
      </w:rPr>
      <w:t>1</w:t>
    </w:r>
    <w:r>
      <w:rPr>
        <w:rStyle w:val="a6"/>
      </w:rPr>
      <w:fldChar w:fldCharType="end"/>
    </w:r>
  </w:p>
  <w:p w:rsidR="00A73345" w:rsidRDefault="00A73345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902" w:rsidRDefault="00916902">
      <w:r>
        <w:separator/>
      </w:r>
    </w:p>
  </w:footnote>
  <w:footnote w:type="continuationSeparator" w:id="0">
    <w:p w:rsidR="00916902" w:rsidRDefault="009169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2.8pt;height:18.25pt" o:bullet="t">
        <v:imagedata r:id="rId1" o:title=""/>
      </v:shape>
    </w:pict>
  </w:numPicBullet>
  <w:numPicBullet w:numPicBulletId="1">
    <w:pict>
      <v:shape id="_x0000_i1033" type="#_x0000_t75" style="width:14.6pt;height:16.4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6974"/>
    <w:rsid w:val="000F462B"/>
    <w:rsid w:val="00113EE4"/>
    <w:rsid w:val="0011749D"/>
    <w:rsid w:val="001270CC"/>
    <w:rsid w:val="001516CF"/>
    <w:rsid w:val="00166795"/>
    <w:rsid w:val="00182ACE"/>
    <w:rsid w:val="0019332C"/>
    <w:rsid w:val="0019781E"/>
    <w:rsid w:val="001A2B3C"/>
    <w:rsid w:val="001B7E0C"/>
    <w:rsid w:val="001C6D7E"/>
    <w:rsid w:val="001E11D8"/>
    <w:rsid w:val="001F15E3"/>
    <w:rsid w:val="002017E1"/>
    <w:rsid w:val="00224FAB"/>
    <w:rsid w:val="00225080"/>
    <w:rsid w:val="00226582"/>
    <w:rsid w:val="002267DD"/>
    <w:rsid w:val="00227FA6"/>
    <w:rsid w:val="00230FF2"/>
    <w:rsid w:val="00237B27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40119"/>
    <w:rsid w:val="00344BAA"/>
    <w:rsid w:val="0035085E"/>
    <w:rsid w:val="00360447"/>
    <w:rsid w:val="00363EE3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76C0C"/>
    <w:rsid w:val="00480BBE"/>
    <w:rsid w:val="00494E8B"/>
    <w:rsid w:val="004C65D2"/>
    <w:rsid w:val="004E6016"/>
    <w:rsid w:val="004E798B"/>
    <w:rsid w:val="004F593A"/>
    <w:rsid w:val="005052DF"/>
    <w:rsid w:val="00511A51"/>
    <w:rsid w:val="00525958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460EC"/>
    <w:rsid w:val="0078305B"/>
    <w:rsid w:val="00785FFD"/>
    <w:rsid w:val="007A4D0C"/>
    <w:rsid w:val="007A754E"/>
    <w:rsid w:val="007B262E"/>
    <w:rsid w:val="007B48C0"/>
    <w:rsid w:val="007D487F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910E7D"/>
    <w:rsid w:val="00912175"/>
    <w:rsid w:val="00916902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7375"/>
    <w:rsid w:val="00B61312"/>
    <w:rsid w:val="00B63787"/>
    <w:rsid w:val="00B679A3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1B8E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17A56"/>
    <w:rsid w:val="00F2247C"/>
    <w:rsid w:val="00F4463A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7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User</cp:lastModifiedBy>
  <cp:revision>19</cp:revision>
  <cp:lastPrinted>2016-12-27T13:34:00Z</cp:lastPrinted>
  <dcterms:created xsi:type="dcterms:W3CDTF">2015-11-10T09:52:00Z</dcterms:created>
  <dcterms:modified xsi:type="dcterms:W3CDTF">2016-12-27T13:34:00Z</dcterms:modified>
</cp:coreProperties>
</file>