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3F1C17">
        <w:t>24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E7418">
      <w:pPr>
        <w:jc w:val="right"/>
      </w:pPr>
      <w:r w:rsidRPr="008646C9">
        <w:t xml:space="preserve">                                                                              Хохольского муниципального района</w:t>
      </w:r>
      <w:r w:rsidR="009E7418">
        <w:t xml:space="preserve"> Воронежской области 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B1728E">
        <w:t>8</w:t>
      </w:r>
      <w:r w:rsidR="00442526">
        <w:t xml:space="preserve"> год</w:t>
      </w:r>
      <w:r w:rsidR="009F2270">
        <w:t xml:space="preserve"> и  плановый период 201</w:t>
      </w:r>
      <w:r w:rsidR="00B1728E">
        <w:t>9</w:t>
      </w:r>
      <w:r w:rsidR="009F2270">
        <w:t xml:space="preserve"> и</w:t>
      </w:r>
      <w:r w:rsidR="009E7418">
        <w:t xml:space="preserve"> </w:t>
      </w:r>
      <w:r w:rsidR="009F2270">
        <w:t>20</w:t>
      </w:r>
      <w:r w:rsidR="00B1728E">
        <w:t>20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9E7418">
        <w:t>о</w:t>
      </w:r>
      <w:r w:rsidRPr="008646C9">
        <w:t xml:space="preserve">т </w:t>
      </w:r>
      <w:r w:rsidR="009F2270">
        <w:t>_________</w:t>
      </w:r>
      <w:r>
        <w:t xml:space="preserve"> </w:t>
      </w:r>
      <w:r w:rsidR="009E7418">
        <w:t xml:space="preserve">2017 </w:t>
      </w:r>
      <w:r>
        <w:t>г</w:t>
      </w:r>
      <w:r w:rsidR="009E7418">
        <w:t>ода</w:t>
      </w:r>
      <w:r>
        <w:t xml:space="preserve"> </w:t>
      </w:r>
      <w:r w:rsidRPr="008646C9">
        <w:t>№</w:t>
      </w:r>
      <w:r w:rsidR="00DB2E21">
        <w:t xml:space="preserve"> </w:t>
      </w:r>
      <w:r w:rsidR="009F2270">
        <w:t>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201</w:t>
      </w:r>
      <w:r w:rsidR="00B1728E">
        <w:rPr>
          <w:b/>
          <w:sz w:val="28"/>
          <w:szCs w:val="28"/>
        </w:rPr>
        <w:t>8</w:t>
      </w:r>
      <w:r w:rsidRPr="00B1728E">
        <w:rPr>
          <w:b/>
          <w:sz w:val="28"/>
          <w:szCs w:val="28"/>
        </w:rPr>
        <w:t xml:space="preserve"> год</w:t>
      </w:r>
      <w:r w:rsidR="00DF4EC3" w:rsidRPr="00B1728E">
        <w:rPr>
          <w:b/>
          <w:sz w:val="28"/>
          <w:szCs w:val="28"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 xml:space="preserve">обеспечения  части своих полномочий  в области </w:t>
      </w:r>
      <w:proofErr w:type="spellStart"/>
      <w:r w:rsidR="009E7D99" w:rsidRPr="009E7D99">
        <w:rPr>
          <w:bCs/>
          <w:sz w:val="28"/>
          <w:szCs w:val="28"/>
        </w:rPr>
        <w:t>электро</w:t>
      </w:r>
      <w:proofErr w:type="spellEnd"/>
      <w:r w:rsidR="009E7D99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 на 201</w:t>
      </w:r>
      <w:r w:rsidR="00B1728E">
        <w:rPr>
          <w:bCs/>
          <w:sz w:val="28"/>
          <w:szCs w:val="28"/>
        </w:rPr>
        <w:t>8</w:t>
      </w:r>
      <w:r w:rsidR="009E7D99" w:rsidRPr="009E7D99">
        <w:rPr>
          <w:bCs/>
          <w:sz w:val="28"/>
          <w:szCs w:val="28"/>
        </w:rPr>
        <w:t xml:space="preserve"> год</w:t>
      </w:r>
      <w:r w:rsidR="009E7418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proofErr w:type="spellStart"/>
      <w:proofErr w:type="gramStart"/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proofErr w:type="spellStart"/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9654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9654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965497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 xml:space="preserve">обеспечению  </w:t>
      </w:r>
      <w:proofErr w:type="spellStart"/>
      <w:r w:rsidR="006A645E" w:rsidRPr="0096549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6A645E" w:rsidRPr="00965497">
        <w:rPr>
          <w:rFonts w:ascii="Times New Roman" w:hAnsi="Times New Roman" w:cs="Times New Roman"/>
          <w:sz w:val="28"/>
          <w:szCs w:val="28"/>
        </w:rPr>
        <w:t>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sub_20001"/>
      <w:r w:rsidRPr="00965497">
        <w:rPr>
          <w:sz w:val="28"/>
          <w:szCs w:val="28"/>
        </w:rPr>
        <w:t>ЭТГ</w:t>
      </w:r>
      <w:proofErr w:type="spellStart"/>
      <w:proofErr w:type="gramStart"/>
      <w:r w:rsidR="00D93B12" w:rsidRPr="00965497">
        <w:rPr>
          <w:sz w:val="28"/>
          <w:szCs w:val="28"/>
          <w:lang w:val="en-US"/>
        </w:rPr>
        <w:t>i</w:t>
      </w:r>
      <w:proofErr w:type="spellEnd"/>
      <w:proofErr w:type="gramEnd"/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0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proofErr w:type="gramStart"/>
      <w:r w:rsidRPr="00965497">
        <w:rPr>
          <w:sz w:val="28"/>
          <w:szCs w:val="28"/>
          <w:lang w:val="en-US"/>
        </w:rPr>
        <w:t>S</w:t>
      </w:r>
      <w:proofErr w:type="gramEnd"/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965497">
        <w:rPr>
          <w:sz w:val="28"/>
          <w:szCs w:val="28"/>
        </w:rPr>
        <w:lastRenderedPageBreak/>
        <w:t>Т</w:t>
      </w:r>
      <w:proofErr w:type="gramStart"/>
      <w:r w:rsidRPr="00965497">
        <w:rPr>
          <w:sz w:val="28"/>
          <w:szCs w:val="28"/>
          <w:lang w:val="en-US"/>
        </w:rPr>
        <w:t>j</w:t>
      </w:r>
      <w:proofErr w:type="gramEnd"/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201</w:t>
      </w:r>
      <w:r w:rsidR="00B1728E">
        <w:rPr>
          <w:sz w:val="28"/>
          <w:szCs w:val="28"/>
        </w:rPr>
        <w:t>8</w:t>
      </w:r>
      <w:r w:rsidR="00FC6D58" w:rsidRPr="00FC6D58">
        <w:rPr>
          <w:sz w:val="28"/>
          <w:szCs w:val="28"/>
        </w:rPr>
        <w:t xml:space="preserve"> год и на плановый период 2018 и 2019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2"/>
    <w:p w:rsidR="00125159" w:rsidRPr="00125159" w:rsidRDefault="0012515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FD782E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объект</w:t>
      </w:r>
      <w:r w:rsidR="00992C47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 </w:t>
      </w:r>
      <w:bookmarkStart w:id="3" w:name="_GoBack"/>
      <w:bookmarkEnd w:id="3"/>
      <w:proofErr w:type="gramStart"/>
      <w:r w:rsidR="00992C47" w:rsidRPr="003F1C17">
        <w:rPr>
          <w:bCs/>
          <w:sz w:val="28"/>
          <w:szCs w:val="28"/>
        </w:rPr>
        <w:t xml:space="preserve">Наличие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  <w:proofErr w:type="gramEnd"/>
    </w:p>
    <w:p w:rsidR="00125159" w:rsidRPr="003F1C17" w:rsidRDefault="00992C47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  <w:r w:rsidR="009E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5085E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3F1C17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</w:t>
      </w:r>
      <w:r w:rsidR="009E7418">
        <w:rPr>
          <w:rFonts w:ascii="Times New Roman" w:hAnsi="Times New Roman" w:cs="Times New Roman"/>
          <w:sz w:val="28"/>
          <w:szCs w:val="28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 xml:space="preserve">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FB3E2B" w:rsidRPr="003F1C17">
        <w:rPr>
          <w:rFonts w:ascii="Times New Roman" w:hAnsi="Times New Roman" w:cs="Times New Roman"/>
          <w:sz w:val="28"/>
          <w:szCs w:val="28"/>
        </w:rPr>
        <w:t xml:space="preserve">выделяет денежные </w:t>
      </w:r>
      <w:r w:rsidR="00FB3E2B" w:rsidRPr="003F1C17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администрации Хохольского муниципального района и отделу по образованию, молодежной политике, культуре и спорту (далее </w:t>
      </w:r>
      <w:proofErr w:type="gramStart"/>
      <w:r w:rsidR="00FB3E2B" w:rsidRPr="003F1C17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FB3E2B" w:rsidRPr="003F1C17">
        <w:rPr>
          <w:rFonts w:ascii="Times New Roman" w:hAnsi="Times New Roman" w:cs="Times New Roman"/>
          <w:sz w:val="28"/>
          <w:szCs w:val="28"/>
        </w:rPr>
        <w:t>РБС) для 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иные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proofErr w:type="gramStart"/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F1C17" w:rsidRPr="003F1C17">
        <w:rPr>
          <w:rFonts w:ascii="Times New Roman" w:hAnsi="Times New Roman" w:cs="Times New Roman"/>
          <w:sz w:val="28"/>
          <w:szCs w:val="28"/>
        </w:rPr>
        <w:t>,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</w:t>
      </w:r>
      <w:proofErr w:type="gramEnd"/>
      <w:r w:rsidR="003D6761" w:rsidRPr="003F1C17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3D6761" w:rsidRPr="003F1C17">
        <w:rPr>
          <w:rFonts w:ascii="Times New Roman" w:hAnsi="Times New Roman" w:cs="Times New Roman"/>
          <w:sz w:val="28"/>
          <w:szCs w:val="28"/>
        </w:rPr>
        <w:t xml:space="preserve">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="003F1C17" w:rsidRPr="003F1C17">
        <w:rPr>
          <w:rFonts w:ascii="Times New Roman" w:hAnsi="Times New Roman" w:cs="Times New Roman"/>
          <w:sz w:val="28"/>
          <w:szCs w:val="28"/>
        </w:rPr>
        <w:t>и по разделу 08 «Культура, кинематография», подразделу 01 «Культура», целевой статье 02 6 01 80590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F1C17" w:rsidRPr="003F1C17"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 учреждений»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3F1C17">
        <w:rPr>
          <w:rFonts w:ascii="Times New Roman" w:hAnsi="Times New Roman" w:cs="Times New Roman"/>
          <w:sz w:val="28"/>
          <w:szCs w:val="28"/>
        </w:rPr>
        <w:t>с лицевого счета</w:t>
      </w:r>
      <w:proofErr w:type="gramEnd"/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1C17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</w:t>
      </w:r>
      <w:r w:rsidRPr="003F1C17">
        <w:rPr>
          <w:rFonts w:ascii="Times New Roman" w:hAnsi="Times New Roman" w:cs="Times New Roman"/>
          <w:sz w:val="28"/>
          <w:szCs w:val="28"/>
        </w:rPr>
        <w:lastRenderedPageBreak/>
        <w:t>бюджетов</w:t>
      </w:r>
      <w:proofErr w:type="gramEnd"/>
      <w:r w:rsidRPr="003F1C17">
        <w:rPr>
          <w:rFonts w:ascii="Times New Roman" w:hAnsi="Times New Roman" w:cs="Times New Roman"/>
          <w:sz w:val="28"/>
          <w:szCs w:val="28"/>
        </w:rPr>
        <w:t xml:space="preserve">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FB3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>ГРБС обеспечивает перечисление средств районного бюджета ежемесячно 1/12 от утвержденной суммы.</w:t>
      </w:r>
    </w:p>
    <w:p w:rsidR="00FB3E2B" w:rsidRPr="0044598D" w:rsidRDefault="00FB3E2B" w:rsidP="00FB3E2B">
      <w:pPr>
        <w:spacing w:line="360" w:lineRule="auto"/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в  адрес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2018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FB3E2B" w:rsidRPr="0097174C" w:rsidRDefault="009E7418" w:rsidP="00FB3E2B">
      <w:pPr>
        <w:autoSpaceDE w:val="0"/>
        <w:autoSpaceDN w:val="0"/>
        <w:adjustRightInd w:val="0"/>
        <w:jc w:val="right"/>
      </w:pPr>
      <w:r>
        <w:t xml:space="preserve">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proofErr w:type="gramStart"/>
      <w:r w:rsidRPr="0097174C">
        <w:t>(наименование главного распорядителя средств</w:t>
      </w:r>
      <w:proofErr w:type="gramEnd"/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</w:t>
      </w:r>
      <w:proofErr w:type="gramStart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ДЕНЕЖНЫХ</w:t>
      </w:r>
      <w:proofErr w:type="gramEnd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СРЕДСТ </w:t>
      </w:r>
    </w:p>
    <w:p w:rsidR="00FB3E2B" w:rsidRPr="009E1795" w:rsidRDefault="009E7418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а 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_______</w:t>
      </w:r>
      <w:r w:rsidR="00FB3E2B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FB3E2B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="00FB3E2B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4"/>
        <w:gridCol w:w="2638"/>
        <w:gridCol w:w="3173"/>
        <w:gridCol w:w="3118"/>
      </w:tblGrid>
      <w:tr w:rsidR="00FB3E2B" w:rsidRPr="009E1795" w:rsidTr="009E7418">
        <w:trPr>
          <w:trHeight w:val="76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9E7418">
        <w:trPr>
          <w:trHeight w:val="76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9E7418">
        <w:trPr>
          <w:trHeight w:val="76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9E7418">
        <w:trPr>
          <w:trHeight w:val="76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AA173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AA173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7418">
      <w:rPr>
        <w:rStyle w:val="a6"/>
        <w:noProof/>
      </w:rPr>
      <w:t>6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25pt;height:18.35pt" o:bullet="t">
        <v:imagedata r:id="rId1" o:title=""/>
      </v:shape>
    </w:pict>
  </w:numPicBullet>
  <w:numPicBullet w:numPicBulletId="1">
    <w:pict>
      <v:shape id="_x0000_i1033" type="#_x0000_t75" style="width:15pt;height:16.4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418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733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797</Words>
  <Characters>7056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Buh1</cp:lastModifiedBy>
  <cp:revision>9</cp:revision>
  <cp:lastPrinted>2016-11-18T08:07:00Z</cp:lastPrinted>
  <dcterms:created xsi:type="dcterms:W3CDTF">2016-11-18T13:15:00Z</dcterms:created>
  <dcterms:modified xsi:type="dcterms:W3CDTF">2017-11-15T05:30:00Z</dcterms:modified>
</cp:coreProperties>
</file>