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155230">
        <w:rPr>
          <w:b/>
          <w:sz w:val="28"/>
          <w:szCs w:val="28"/>
        </w:rPr>
        <w:t xml:space="preserve"> </w:t>
      </w:r>
    </w:p>
    <w:p w:rsidR="00C760EF" w:rsidRPr="00EB4F9B" w:rsidRDefault="00D94DAD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2E1A6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квартал</w:t>
      </w:r>
      <w:r w:rsidR="0003331E">
        <w:rPr>
          <w:b/>
          <w:sz w:val="28"/>
          <w:szCs w:val="28"/>
        </w:rPr>
        <w:t xml:space="preserve"> 20</w:t>
      </w:r>
      <w:r w:rsidR="00B14C6A">
        <w:rPr>
          <w:b/>
          <w:sz w:val="28"/>
          <w:szCs w:val="28"/>
        </w:rPr>
        <w:t>2</w:t>
      </w:r>
      <w:r w:rsidR="002E1A6B">
        <w:rPr>
          <w:b/>
          <w:sz w:val="28"/>
          <w:szCs w:val="28"/>
        </w:rPr>
        <w:t>4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</w:r>
      <w:proofErr w:type="gramStart"/>
      <w:r w:rsidRPr="00B969D7">
        <w:rPr>
          <w:sz w:val="28"/>
          <w:szCs w:val="28"/>
        </w:rPr>
        <w:t xml:space="preserve">Оценка качества финансового менеджмента, осуществляемого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D238B5">
        <w:rPr>
          <w:sz w:val="28"/>
          <w:szCs w:val="28"/>
        </w:rPr>
        <w:t>1</w:t>
      </w:r>
      <w:r w:rsidR="00155230">
        <w:rPr>
          <w:sz w:val="28"/>
          <w:szCs w:val="28"/>
        </w:rPr>
        <w:t xml:space="preserve"> квартал</w:t>
      </w:r>
      <w:r w:rsidR="00242641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20</w:t>
      </w:r>
      <w:r w:rsidR="00B14C6A">
        <w:rPr>
          <w:sz w:val="28"/>
          <w:szCs w:val="28"/>
        </w:rPr>
        <w:t>2</w:t>
      </w:r>
      <w:r w:rsidR="00D238B5">
        <w:rPr>
          <w:sz w:val="28"/>
          <w:szCs w:val="28"/>
        </w:rPr>
        <w:t>4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="00155230">
        <w:rPr>
          <w:sz w:val="28"/>
          <w:szCs w:val="28"/>
        </w:rPr>
        <w:t xml:space="preserve"> (в</w:t>
      </w:r>
      <w:proofErr w:type="gramEnd"/>
      <w:r w:rsidR="00155230">
        <w:rPr>
          <w:sz w:val="28"/>
          <w:szCs w:val="28"/>
        </w:rPr>
        <w:t xml:space="preserve"> редакции приказа от 16.12.2019 г. № 35)</w:t>
      </w:r>
      <w:r w:rsidRPr="005B080E">
        <w:rPr>
          <w:sz w:val="28"/>
          <w:szCs w:val="28"/>
        </w:rPr>
        <w:t>: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механизмов планирования расходов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 xml:space="preserve">- оценка результатов исполнения бюджета в части расходов;       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состояния учета и отчетности;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организации контроля;</w:t>
      </w:r>
    </w:p>
    <w:p w:rsidR="00155230" w:rsidRDefault="00155230" w:rsidP="001552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55230">
        <w:rPr>
          <w:sz w:val="28"/>
          <w:szCs w:val="28"/>
        </w:rPr>
        <w:t>ценка исполнения судебных актов</w:t>
      </w:r>
      <w:r>
        <w:rPr>
          <w:sz w:val="28"/>
          <w:szCs w:val="28"/>
        </w:rPr>
        <w:t>.</w:t>
      </w:r>
    </w:p>
    <w:p w:rsidR="00C760EF" w:rsidRPr="00B969D7" w:rsidRDefault="00C760EF" w:rsidP="00155230">
      <w:pPr>
        <w:spacing w:line="360" w:lineRule="auto"/>
        <w:ind w:firstLine="709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</w:t>
      </w:r>
      <w:r w:rsidR="000848CC">
        <w:rPr>
          <w:sz w:val="28"/>
          <w:szCs w:val="28"/>
        </w:rPr>
        <w:t>0</w:t>
      </w:r>
      <w:r w:rsidRPr="00B969D7">
        <w:rPr>
          <w:sz w:val="28"/>
          <w:szCs w:val="28"/>
        </w:rPr>
        <w:t xml:space="preserve"> показателям:</w:t>
      </w:r>
    </w:p>
    <w:tbl>
      <w:tblPr>
        <w:tblW w:w="9493" w:type="dxa"/>
        <w:tblLook w:val="04A0"/>
      </w:tblPr>
      <w:tblGrid>
        <w:gridCol w:w="9493"/>
      </w:tblGrid>
      <w:tr w:rsidR="00155230" w:rsidRPr="00155230" w:rsidTr="00155230">
        <w:trPr>
          <w:trHeight w:val="315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center"/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Наименование    показателя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1</w:t>
            </w:r>
            <w:proofErr w:type="gramEnd"/>
            <w:r w:rsidRPr="00155230">
              <w:rPr>
                <w:color w:val="000000"/>
              </w:rPr>
              <w:t xml:space="preserve">.1 Своевременность представления реестра расходных обязательств ГРБС (далее - РРО)    обязательств ГРБС  (далее - РРО)    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P1.2 Полнота информации о расходных обязательствах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Р1.3 Доля целевых межбюджетных трансфертов, предоставляемых местным бюджетам из районного бюджета ГРБС в отчетном финансовом году, распределяемых решением о районном бюджете, в общем объеме целевых межбюджетных трансфертов, предоставляемых местным бюджетам из районного бюджета ГРБС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Р1.4 Соблюдение ответственными исполнителями муниципальных программ установленного нормативным правовым актом администрации Хохольского муниципального района срока приведения муниципальной программы Хохольского района в соответствие решению о районном бюджете на очередной финансовый год и плановый период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2. Оценка результатов исполнения бюджета в части расходов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Р2.1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Р2.2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Р2.3 Своевременность утверждения муниципальных заданий на оказание муниципальных услуг (выполнение работ) (далее - муниципальные задания задания)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Р2.4 Удельный вес муниципальных учреждений, подведомственных ГРБС, выполнивших муниципальное задание на 100%, в общем количестве муниципальных учреждений, подведомственных ГРБС, которым установлены муниципальное задания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Р2.5 Уровень исполнения </w:t>
            </w:r>
            <w:r w:rsidR="00CA36C4">
              <w:rPr>
                <w:color w:val="000000"/>
              </w:rPr>
              <w:t>б</w:t>
            </w:r>
            <w:r w:rsidRPr="00155230">
              <w:rPr>
                <w:color w:val="000000"/>
              </w:rPr>
              <w:t>юджетной сметы подведомственными ГРБС казенными учреждениями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Р2.6 Доля муниципальных учреждений, подведомственных ГРБС, для которых установлены количественно измеримые финансовые санкции за нарушение условий выполнения муниципальных заданий</w:t>
            </w:r>
          </w:p>
        </w:tc>
      </w:tr>
      <w:tr w:rsidR="00155230" w:rsidRPr="00155230" w:rsidTr="00155230">
        <w:trPr>
          <w:trHeight w:val="157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Р2.7 Оценка качества планирования бюджетных ассигнований: количество изменений в сводную бюджетную роспись и лимиты бюджетных обязательств ГРБС в ходе исполнения районного бюджета (за исключением изменений, связанных с использованием средств, поступающих из областного бюджета, не запланированных в районном бюджете, средств резервных фондов и зарезервированных средств)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Р3.1 Эффективность управления просроченной кредиторской задолженностью ГРБС и подведомственных ему государственных учреждений к объему расходов ГРБС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Р3.2 Ежемесячное изменение кредиторской задолженности ГРБС и подведомственных ему учреждений в течение отчетного периода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4</w:t>
            </w:r>
            <w:proofErr w:type="gramEnd"/>
            <w:r w:rsidRPr="00155230">
              <w:rPr>
                <w:color w:val="000000"/>
              </w:rPr>
              <w:t>.1 Представление в составе годовой бюджетной отчетности</w:t>
            </w:r>
            <w:r w:rsidR="00CA36C4">
              <w:rPr>
                <w:color w:val="000000"/>
              </w:rPr>
              <w:t xml:space="preserve"> сведений о мерах по повышению </w:t>
            </w:r>
            <w:r w:rsidRPr="00155230">
              <w:rPr>
                <w:color w:val="000000"/>
              </w:rPr>
              <w:t>эффективности  расходования бюджетных средств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Р4.2 Соблюдение сроков представления ГРБС годовой     бюджетной отчетности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Р5.1 Проведение ГРБС контрольных мероприятий за исполнением подведомственными ему учреждениями государственных заданий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Р5.2 Представление ГРБС отчета о проведении Мониторинга результатов деятельности подведомственных учреждений и его итогах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Р5.3 Нарушения, выявленные в ходе проведения внутренним финансовым контролем контрольных мероприятий в отчетном финансовом году, включая подведомственные ГРБС муниципальные учреждения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Р5.4 Качество организации внутреннего финансового контроля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6. Оценка исполнения судебных актов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Р6.1 Исполнение судебных актов, решений налоговых органов по денежным обязательствам ГРБС</w:t>
            </w:r>
          </w:p>
        </w:tc>
      </w:tr>
    </w:tbl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0848CC">
        <w:rPr>
          <w:sz w:val="28"/>
          <w:szCs w:val="28"/>
        </w:rPr>
        <w:t>100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577EB8" w:rsidRDefault="00F33DFA" w:rsidP="00577EB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577EB8">
        <w:rPr>
          <w:sz w:val="28"/>
          <w:szCs w:val="28"/>
        </w:rPr>
        <w:t xml:space="preserve"> финансового отдела    </w:t>
      </w:r>
      <w:r w:rsidR="00577EB8" w:rsidRPr="0022015F">
        <w:rPr>
          <w:sz w:val="28"/>
          <w:szCs w:val="28"/>
        </w:rPr>
        <w:t xml:space="preserve">                                 </w:t>
      </w:r>
      <w:r w:rsidR="005A5E98">
        <w:rPr>
          <w:sz w:val="28"/>
          <w:szCs w:val="28"/>
        </w:rPr>
        <w:t xml:space="preserve">О.А. </w:t>
      </w:r>
      <w:proofErr w:type="gramStart"/>
      <w:r w:rsidR="005A5E98">
        <w:rPr>
          <w:sz w:val="28"/>
          <w:szCs w:val="28"/>
        </w:rPr>
        <w:t>Коротких</w:t>
      </w:r>
      <w:proofErr w:type="gramEnd"/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370" w:type="dxa"/>
        <w:tblInd w:w="20" w:type="dxa"/>
        <w:tblLook w:val="04A0"/>
      </w:tblPr>
      <w:tblGrid>
        <w:gridCol w:w="3666"/>
        <w:gridCol w:w="1160"/>
        <w:gridCol w:w="960"/>
        <w:gridCol w:w="1340"/>
        <w:gridCol w:w="1415"/>
        <w:gridCol w:w="1400"/>
        <w:gridCol w:w="1638"/>
        <w:gridCol w:w="1280"/>
        <w:gridCol w:w="1290"/>
        <w:gridCol w:w="1221"/>
      </w:tblGrid>
      <w:tr w:rsidR="00CA36C4" w:rsidRPr="00CA36C4" w:rsidTr="00CA36C4">
        <w:trPr>
          <w:trHeight w:val="885"/>
        </w:trPr>
        <w:tc>
          <w:tcPr>
            <w:tcW w:w="141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  <w:r w:rsidRPr="00CA36C4">
              <w:rPr>
                <w:b/>
                <w:bCs/>
                <w:color w:val="000000"/>
              </w:rPr>
              <w:lastRenderedPageBreak/>
              <w:t xml:space="preserve">Сводный рейтинг главных распорядителей средств районного бюджета  Хохольского муниципального района </w:t>
            </w:r>
            <w:r w:rsidRPr="00CA36C4">
              <w:rPr>
                <w:b/>
                <w:bCs/>
                <w:color w:val="000000"/>
              </w:rPr>
              <w:br/>
              <w:t>по качест</w:t>
            </w:r>
            <w:r w:rsidR="00A2252E">
              <w:rPr>
                <w:b/>
                <w:bCs/>
                <w:color w:val="000000"/>
              </w:rPr>
              <w:t>ву финансового менеджмента  за 1 кв. 2024</w:t>
            </w:r>
            <w:r w:rsidRPr="00CA36C4">
              <w:rPr>
                <w:b/>
                <w:bCs/>
                <w:color w:val="000000"/>
              </w:rPr>
              <w:t xml:space="preserve"> год.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300"/>
        </w:trPr>
        <w:tc>
          <w:tcPr>
            <w:tcW w:w="48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82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CA36C4" w:rsidRPr="00CA36C4" w:rsidTr="00CA36C4">
        <w:trPr>
          <w:trHeight w:val="153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части  расходов     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6. Оценка исполнения судебных актов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5A5E9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  <w:r w:rsidR="005A5E9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5A5E98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  <w:r w:rsidR="005A5E9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2 мах значение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5A5E9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5A5E9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731" w:type="dxa"/>
        <w:tblInd w:w="-284" w:type="dxa"/>
        <w:tblLook w:val="04A0"/>
      </w:tblPr>
      <w:tblGrid>
        <w:gridCol w:w="1100"/>
        <w:gridCol w:w="3700"/>
        <w:gridCol w:w="1495"/>
        <w:gridCol w:w="1603"/>
        <w:gridCol w:w="1833"/>
      </w:tblGrid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lastRenderedPageBreak/>
              <w:t>Сводный рейтинг</w:t>
            </w:r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RANGE!A4:E15"/>
            <w:r w:rsidRPr="00CA36C4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  <w:bookmarkEnd w:id="0"/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CA36C4" w:rsidRPr="00CA36C4" w:rsidTr="00CA36C4">
        <w:trPr>
          <w:trHeight w:val="37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3471C8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EB14F3">
              <w:rPr>
                <w:color w:val="000000"/>
                <w:sz w:val="28"/>
                <w:szCs w:val="28"/>
              </w:rPr>
              <w:t xml:space="preserve"> квартал 2023</w:t>
            </w:r>
            <w:r w:rsidR="00CA36C4" w:rsidRPr="00CA36C4">
              <w:rPr>
                <w:color w:val="000000"/>
                <w:sz w:val="28"/>
                <w:szCs w:val="28"/>
              </w:rPr>
              <w:t xml:space="preserve"> года</w:t>
            </w:r>
          </w:p>
        </w:tc>
      </w:tr>
      <w:tr w:rsidR="00CA36C4" w:rsidRPr="00CA36C4" w:rsidTr="00CA36C4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157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№ п/п   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</w:rPr>
              <w:t>Наименование ГРБС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Суммарная   оценка качества финансового   менеджмента   (КФМ)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Максимальная оценка качества финансового менеджмента   (MAX)</w:t>
            </w:r>
          </w:p>
        </w:tc>
      </w:tr>
      <w:tr w:rsidR="00CA36C4" w:rsidRPr="00CA36C4" w:rsidTr="00CA36C4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</w:t>
            </w:r>
            <w:bookmarkStart w:id="1" w:name="_GoBack"/>
            <w:bookmarkEnd w:id="1"/>
            <w:r w:rsidRPr="00CA36C4">
              <w:rPr>
                <w:color w:val="000000"/>
                <w:sz w:val="22"/>
                <w:szCs w:val="22"/>
              </w:rPr>
              <w:t>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45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</w:t>
            </w:r>
            <w:r w:rsidR="005A5E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12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 xml:space="preserve">Оценка среднего уровня   качества финансового   менеджмента ГРБС (MR)   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E98" w:rsidRDefault="005A5E98">
      <w:r>
        <w:separator/>
      </w:r>
    </w:p>
  </w:endnote>
  <w:endnote w:type="continuationSeparator" w:id="0">
    <w:p w:rsidR="005A5E98" w:rsidRDefault="005A5E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E98" w:rsidRDefault="005A5E98">
      <w:r>
        <w:separator/>
      </w:r>
    </w:p>
  </w:footnote>
  <w:footnote w:type="continuationSeparator" w:id="0">
    <w:p w:rsidR="005A5E98" w:rsidRDefault="005A5E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E98" w:rsidRDefault="00D1306B" w:rsidP="005A5E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5E9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5E98" w:rsidRDefault="005A5E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E98" w:rsidRDefault="00D1306B" w:rsidP="005A5E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5E9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2252E">
      <w:rPr>
        <w:rStyle w:val="a5"/>
        <w:noProof/>
      </w:rPr>
      <w:t>4</w:t>
    </w:r>
    <w:r>
      <w:rPr>
        <w:rStyle w:val="a5"/>
      </w:rPr>
      <w:fldChar w:fldCharType="end"/>
    </w:r>
  </w:p>
  <w:p w:rsidR="005A5E98" w:rsidRDefault="005A5E9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0EF"/>
    <w:rsid w:val="0003331E"/>
    <w:rsid w:val="00053004"/>
    <w:rsid w:val="0006564D"/>
    <w:rsid w:val="000848CC"/>
    <w:rsid w:val="000867A6"/>
    <w:rsid w:val="00113268"/>
    <w:rsid w:val="00155230"/>
    <w:rsid w:val="0022015F"/>
    <w:rsid w:val="00242641"/>
    <w:rsid w:val="002930E5"/>
    <w:rsid w:val="002B3549"/>
    <w:rsid w:val="002B75A7"/>
    <w:rsid w:val="002C23F1"/>
    <w:rsid w:val="002C6CC2"/>
    <w:rsid w:val="002E1A6B"/>
    <w:rsid w:val="002E3FEA"/>
    <w:rsid w:val="00317B50"/>
    <w:rsid w:val="00344A4B"/>
    <w:rsid w:val="003471C8"/>
    <w:rsid w:val="00366AEA"/>
    <w:rsid w:val="00367B00"/>
    <w:rsid w:val="00423D89"/>
    <w:rsid w:val="00491403"/>
    <w:rsid w:val="004A3C7F"/>
    <w:rsid w:val="004C5F0F"/>
    <w:rsid w:val="00513B47"/>
    <w:rsid w:val="005465DD"/>
    <w:rsid w:val="0057138F"/>
    <w:rsid w:val="00577EB8"/>
    <w:rsid w:val="00584447"/>
    <w:rsid w:val="0059364B"/>
    <w:rsid w:val="005A5E98"/>
    <w:rsid w:val="005E75C9"/>
    <w:rsid w:val="006A0B71"/>
    <w:rsid w:val="006A75EC"/>
    <w:rsid w:val="006E7368"/>
    <w:rsid w:val="006F3DCB"/>
    <w:rsid w:val="00792BF5"/>
    <w:rsid w:val="007F0CED"/>
    <w:rsid w:val="008E28F2"/>
    <w:rsid w:val="00912665"/>
    <w:rsid w:val="00964C3A"/>
    <w:rsid w:val="00980C63"/>
    <w:rsid w:val="00A0571E"/>
    <w:rsid w:val="00A2252E"/>
    <w:rsid w:val="00A76B4B"/>
    <w:rsid w:val="00AE4FED"/>
    <w:rsid w:val="00AF4EA7"/>
    <w:rsid w:val="00AF50FC"/>
    <w:rsid w:val="00B14C6A"/>
    <w:rsid w:val="00B1752E"/>
    <w:rsid w:val="00B218C5"/>
    <w:rsid w:val="00B263CC"/>
    <w:rsid w:val="00B64257"/>
    <w:rsid w:val="00B77A4E"/>
    <w:rsid w:val="00BE13C4"/>
    <w:rsid w:val="00BF2E35"/>
    <w:rsid w:val="00C04CF8"/>
    <w:rsid w:val="00C760EF"/>
    <w:rsid w:val="00CA36C4"/>
    <w:rsid w:val="00D11397"/>
    <w:rsid w:val="00D1306B"/>
    <w:rsid w:val="00D238B5"/>
    <w:rsid w:val="00D42984"/>
    <w:rsid w:val="00D53D85"/>
    <w:rsid w:val="00D54618"/>
    <w:rsid w:val="00D8384B"/>
    <w:rsid w:val="00D94DAD"/>
    <w:rsid w:val="00DC3588"/>
    <w:rsid w:val="00DC6DE5"/>
    <w:rsid w:val="00E54274"/>
    <w:rsid w:val="00E83C7A"/>
    <w:rsid w:val="00EA35CD"/>
    <w:rsid w:val="00EA407F"/>
    <w:rsid w:val="00EB14F3"/>
    <w:rsid w:val="00F168B8"/>
    <w:rsid w:val="00F33DFA"/>
    <w:rsid w:val="00F40385"/>
    <w:rsid w:val="00F4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администрации Хохольского района</Company>
  <LinksUpToDate>false</LinksUpToDate>
  <CharactersWithSpaces>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Нейроновская Мария Сергеевна</cp:lastModifiedBy>
  <cp:revision>9</cp:revision>
  <cp:lastPrinted>2021-12-14T11:35:00Z</cp:lastPrinted>
  <dcterms:created xsi:type="dcterms:W3CDTF">2022-12-13T06:58:00Z</dcterms:created>
  <dcterms:modified xsi:type="dcterms:W3CDTF">2024-05-15T12:34:00Z</dcterms:modified>
</cp:coreProperties>
</file>