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565F" w:rsidRDefault="003B641A" w:rsidP="003B641A">
      <w:pPr>
        <w:jc w:val="center"/>
        <w:rPr>
          <w:b/>
          <w:i/>
          <w:sz w:val="28"/>
          <w:szCs w:val="28"/>
        </w:rPr>
      </w:pPr>
      <w:r w:rsidRPr="003B641A">
        <w:rPr>
          <w:b/>
          <w:i/>
          <w:sz w:val="28"/>
          <w:szCs w:val="28"/>
        </w:rPr>
        <w:t>Обследование финансового отчета АНО Спортивно культурный центр «</w:t>
      </w:r>
      <w:proofErr w:type="spellStart"/>
      <w:r w:rsidRPr="003B641A">
        <w:rPr>
          <w:b/>
          <w:i/>
          <w:sz w:val="28"/>
          <w:szCs w:val="28"/>
        </w:rPr>
        <w:t>Костёнки</w:t>
      </w:r>
      <w:proofErr w:type="spellEnd"/>
      <w:r w:rsidRPr="003B641A">
        <w:rPr>
          <w:b/>
          <w:i/>
          <w:sz w:val="28"/>
          <w:szCs w:val="28"/>
        </w:rPr>
        <w:t>».</w:t>
      </w:r>
    </w:p>
    <w:p w:rsidR="003B641A" w:rsidRDefault="003B641A" w:rsidP="003B641A">
      <w:pPr>
        <w:jc w:val="center"/>
        <w:rPr>
          <w:b/>
          <w:i/>
          <w:sz w:val="28"/>
          <w:szCs w:val="28"/>
        </w:rPr>
      </w:pPr>
    </w:p>
    <w:p w:rsidR="004038EB" w:rsidRDefault="003B641A" w:rsidP="00F91006">
      <w:pPr>
        <w:ind w:firstLine="709"/>
        <w:jc w:val="both"/>
        <w:rPr>
          <w:sz w:val="28"/>
          <w:szCs w:val="28"/>
        </w:rPr>
      </w:pPr>
      <w:proofErr w:type="gramStart"/>
      <w:r>
        <w:rPr>
          <w:sz w:val="28"/>
          <w:szCs w:val="28"/>
        </w:rPr>
        <w:t>В соответствии с соглашением о предоставлении  субсидий из областного бюджета бюджету муниципального образования №11 от 15 июня 2020г. между Департаментом социальной защиты Воронежской области и администрацией Хохольского муниципального района и на основании постановления правительства Воронежской области от 28.05.2020 № 457 «О распределении субсидий из областного бюджета бюджетам муниципальных образований Воронежской области на поддержку социально ориентированных некоммерческих организаций в рамках государственной программы</w:t>
      </w:r>
      <w:proofErr w:type="gramEnd"/>
      <w:r>
        <w:rPr>
          <w:sz w:val="28"/>
          <w:szCs w:val="28"/>
        </w:rPr>
        <w:t xml:space="preserve"> Воронежской области «Социальная поддержка граждан»</w:t>
      </w:r>
      <w:r w:rsidR="003D0202">
        <w:rPr>
          <w:sz w:val="28"/>
          <w:szCs w:val="28"/>
        </w:rPr>
        <w:t xml:space="preserve"> на 2020 год» в бюджет Хохольского муниципального района поступил</w:t>
      </w:r>
      <w:r w:rsidR="00A26317">
        <w:rPr>
          <w:sz w:val="28"/>
          <w:szCs w:val="28"/>
        </w:rPr>
        <w:t xml:space="preserve">а </w:t>
      </w:r>
      <w:r w:rsidR="00A26317" w:rsidRPr="00A26317">
        <w:rPr>
          <w:sz w:val="28"/>
          <w:szCs w:val="28"/>
        </w:rPr>
        <w:t>Субсиди</w:t>
      </w:r>
      <w:r w:rsidR="00A26317">
        <w:rPr>
          <w:sz w:val="28"/>
          <w:szCs w:val="28"/>
        </w:rPr>
        <w:t>я</w:t>
      </w:r>
      <w:r w:rsidR="00A26317" w:rsidRPr="00A26317">
        <w:rPr>
          <w:sz w:val="28"/>
          <w:szCs w:val="28"/>
        </w:rPr>
        <w:t xml:space="preserve"> на поддержку социально ориентированных некоммерческих организаций</w:t>
      </w:r>
      <w:r w:rsidR="00A26317">
        <w:rPr>
          <w:sz w:val="28"/>
          <w:szCs w:val="28"/>
        </w:rPr>
        <w:t xml:space="preserve"> </w:t>
      </w:r>
      <w:r w:rsidR="003D0202">
        <w:rPr>
          <w:sz w:val="28"/>
          <w:szCs w:val="28"/>
        </w:rPr>
        <w:t xml:space="preserve"> </w:t>
      </w:r>
      <w:r w:rsidR="00A26317">
        <w:rPr>
          <w:sz w:val="28"/>
          <w:szCs w:val="28"/>
        </w:rPr>
        <w:t xml:space="preserve">в сумме </w:t>
      </w:r>
      <w:r w:rsidR="003D0202">
        <w:rPr>
          <w:sz w:val="28"/>
          <w:szCs w:val="28"/>
        </w:rPr>
        <w:t>1073800 рублей</w:t>
      </w:r>
      <w:r w:rsidR="00F91006">
        <w:rPr>
          <w:sz w:val="28"/>
          <w:szCs w:val="28"/>
        </w:rPr>
        <w:t xml:space="preserve"> (</w:t>
      </w:r>
      <w:proofErr w:type="gramStart"/>
      <w:r w:rsidR="00F91006">
        <w:rPr>
          <w:sz w:val="28"/>
          <w:szCs w:val="28"/>
        </w:rPr>
        <w:t>п</w:t>
      </w:r>
      <w:proofErr w:type="gramEnd"/>
      <w:r w:rsidR="00F91006">
        <w:rPr>
          <w:sz w:val="28"/>
          <w:szCs w:val="28"/>
        </w:rPr>
        <w:t>/п от 23.06.2020г №398317)</w:t>
      </w:r>
      <w:r w:rsidR="00A26317">
        <w:rPr>
          <w:sz w:val="28"/>
          <w:szCs w:val="28"/>
        </w:rPr>
        <w:t xml:space="preserve">.  В соответствии с </w:t>
      </w:r>
      <w:r w:rsidR="004038EB">
        <w:rPr>
          <w:sz w:val="28"/>
          <w:szCs w:val="28"/>
        </w:rPr>
        <w:t>Положением  о предоставлении грантов в форме субсидий из бюджета Хохольского муниципального района Воронежской области социально ориентированным некоммерческим организациям на реализацию программ (проектов) на конкурсной основе</w:t>
      </w:r>
      <w:r w:rsidR="00343E06">
        <w:rPr>
          <w:sz w:val="28"/>
          <w:szCs w:val="28"/>
        </w:rPr>
        <w:t xml:space="preserve"> (далее – Положение о предоставлении грантов)</w:t>
      </w:r>
      <w:proofErr w:type="gramStart"/>
      <w:r w:rsidR="00343E06">
        <w:rPr>
          <w:sz w:val="28"/>
          <w:szCs w:val="28"/>
        </w:rPr>
        <w:t xml:space="preserve"> </w:t>
      </w:r>
      <w:r w:rsidR="004038EB">
        <w:rPr>
          <w:sz w:val="28"/>
          <w:szCs w:val="28"/>
        </w:rPr>
        <w:t>,</w:t>
      </w:r>
      <w:proofErr w:type="gramEnd"/>
      <w:r w:rsidR="004038EB">
        <w:rPr>
          <w:sz w:val="28"/>
          <w:szCs w:val="28"/>
        </w:rPr>
        <w:t xml:space="preserve"> утвержденном постановлением администрации Хохольского муниципального района Воронежской области от 5.04.2019г №266, данные средства были распределены между следующими социально-ориентированными некоммерческими организациями (СОНКО) – победителями конкурса на реализацию программ (проектов):</w:t>
      </w:r>
    </w:p>
    <w:p w:rsidR="003B641A" w:rsidRDefault="004038EB" w:rsidP="001F03E3">
      <w:pPr>
        <w:pStyle w:val="a3"/>
        <w:numPr>
          <w:ilvl w:val="0"/>
          <w:numId w:val="1"/>
        </w:numPr>
        <w:ind w:left="709" w:right="141" w:hanging="425"/>
        <w:jc w:val="both"/>
        <w:rPr>
          <w:sz w:val="28"/>
          <w:szCs w:val="28"/>
        </w:rPr>
      </w:pPr>
      <w:proofErr w:type="spellStart"/>
      <w:r>
        <w:rPr>
          <w:sz w:val="28"/>
          <w:szCs w:val="28"/>
        </w:rPr>
        <w:t>Хохольская</w:t>
      </w:r>
      <w:proofErr w:type="spellEnd"/>
      <w:r>
        <w:rPr>
          <w:sz w:val="28"/>
          <w:szCs w:val="28"/>
        </w:rPr>
        <w:t xml:space="preserve"> районная общественная организация Всероссийской общественной организации ветеранов (пенсионеров) войны, труда, Вооруженных сил и правоохранительных органов – проект «Мы – часть России</w:t>
      </w:r>
      <w:proofErr w:type="gramStart"/>
      <w:r>
        <w:rPr>
          <w:sz w:val="28"/>
          <w:szCs w:val="28"/>
        </w:rPr>
        <w:t>»</w:t>
      </w:r>
      <w:r w:rsidR="001F03E3">
        <w:rPr>
          <w:sz w:val="28"/>
          <w:szCs w:val="28"/>
        </w:rPr>
        <w:t>(</w:t>
      </w:r>
      <w:proofErr w:type="gramEnd"/>
      <w:r w:rsidR="001F03E3">
        <w:rPr>
          <w:sz w:val="28"/>
          <w:szCs w:val="28"/>
        </w:rPr>
        <w:t>далее – Совет ветеранов)</w:t>
      </w:r>
      <w:r>
        <w:rPr>
          <w:sz w:val="28"/>
          <w:szCs w:val="28"/>
        </w:rPr>
        <w:t xml:space="preserve"> </w:t>
      </w:r>
      <w:r w:rsidR="001F03E3">
        <w:rPr>
          <w:sz w:val="28"/>
          <w:szCs w:val="28"/>
        </w:rPr>
        <w:t>-</w:t>
      </w:r>
      <w:r>
        <w:rPr>
          <w:sz w:val="28"/>
          <w:szCs w:val="28"/>
        </w:rPr>
        <w:t xml:space="preserve">  517750</w:t>
      </w:r>
      <w:r w:rsidR="001F03E3">
        <w:rPr>
          <w:sz w:val="28"/>
          <w:szCs w:val="28"/>
        </w:rPr>
        <w:t xml:space="preserve">,00 рублей (с учетом 2% </w:t>
      </w:r>
      <w:proofErr w:type="spellStart"/>
      <w:r w:rsidR="001F03E3">
        <w:rPr>
          <w:sz w:val="28"/>
          <w:szCs w:val="28"/>
        </w:rPr>
        <w:t>софинансирования</w:t>
      </w:r>
      <w:proofErr w:type="spellEnd"/>
      <w:r w:rsidR="001F03E3">
        <w:rPr>
          <w:sz w:val="28"/>
          <w:szCs w:val="28"/>
        </w:rPr>
        <w:t xml:space="preserve"> из районного бюджета – 10355,00 рублей);</w:t>
      </w:r>
    </w:p>
    <w:p w:rsidR="001F03E3" w:rsidRDefault="001F03E3" w:rsidP="001F03E3">
      <w:pPr>
        <w:pStyle w:val="a3"/>
        <w:numPr>
          <w:ilvl w:val="0"/>
          <w:numId w:val="1"/>
        </w:numPr>
        <w:ind w:left="709" w:right="141" w:hanging="425"/>
        <w:jc w:val="both"/>
        <w:rPr>
          <w:sz w:val="28"/>
          <w:szCs w:val="28"/>
        </w:rPr>
      </w:pPr>
      <w:r>
        <w:rPr>
          <w:sz w:val="28"/>
          <w:szCs w:val="28"/>
        </w:rPr>
        <w:t>Автономная некоммерческая организация «Культурно-спортивный центр «Ориентир» - проект «Лето</w:t>
      </w:r>
      <w:r w:rsidR="003F7B6C">
        <w:rPr>
          <w:sz w:val="28"/>
          <w:szCs w:val="28"/>
        </w:rPr>
        <w:t xml:space="preserve"> </w:t>
      </w:r>
      <w:r>
        <w:rPr>
          <w:sz w:val="28"/>
          <w:szCs w:val="28"/>
        </w:rPr>
        <w:t xml:space="preserve">в парке» (далее – КСЦ Ориентир)- 433414,00 рублей (с учетом 2% </w:t>
      </w:r>
      <w:proofErr w:type="spellStart"/>
      <w:r>
        <w:rPr>
          <w:sz w:val="28"/>
          <w:szCs w:val="28"/>
        </w:rPr>
        <w:t>софинансирования</w:t>
      </w:r>
      <w:proofErr w:type="spellEnd"/>
      <w:r>
        <w:rPr>
          <w:sz w:val="28"/>
          <w:szCs w:val="28"/>
        </w:rPr>
        <w:t xml:space="preserve"> из районного бюджета – 8669,00 рублей);</w:t>
      </w:r>
    </w:p>
    <w:p w:rsidR="001F03E3" w:rsidRDefault="001F03E3" w:rsidP="001F03E3">
      <w:pPr>
        <w:pStyle w:val="a3"/>
        <w:numPr>
          <w:ilvl w:val="0"/>
          <w:numId w:val="1"/>
        </w:numPr>
        <w:ind w:left="709" w:right="141" w:hanging="425"/>
        <w:jc w:val="both"/>
        <w:rPr>
          <w:sz w:val="28"/>
          <w:szCs w:val="28"/>
        </w:rPr>
      </w:pPr>
      <w:r>
        <w:rPr>
          <w:sz w:val="28"/>
          <w:szCs w:val="28"/>
        </w:rPr>
        <w:t>Автономная некоммерческая организация «Спортивно-культурный центр «</w:t>
      </w:r>
      <w:proofErr w:type="spellStart"/>
      <w:r>
        <w:rPr>
          <w:sz w:val="28"/>
          <w:szCs w:val="28"/>
        </w:rPr>
        <w:t>Костенки</w:t>
      </w:r>
      <w:proofErr w:type="spellEnd"/>
      <w:r>
        <w:rPr>
          <w:sz w:val="28"/>
          <w:szCs w:val="28"/>
        </w:rPr>
        <w:t xml:space="preserve">» - проект «Массовый спорт – норма жизни» (далее СКЦ </w:t>
      </w:r>
      <w:proofErr w:type="spellStart"/>
      <w:r>
        <w:rPr>
          <w:sz w:val="28"/>
          <w:szCs w:val="28"/>
        </w:rPr>
        <w:t>Костенки</w:t>
      </w:r>
      <w:proofErr w:type="spellEnd"/>
      <w:r>
        <w:rPr>
          <w:sz w:val="28"/>
          <w:szCs w:val="28"/>
        </w:rPr>
        <w:t xml:space="preserve">) – 144551,00 рублей (с учетом 2% </w:t>
      </w:r>
      <w:proofErr w:type="spellStart"/>
      <w:r>
        <w:rPr>
          <w:sz w:val="28"/>
          <w:szCs w:val="28"/>
        </w:rPr>
        <w:t>софинансирования</w:t>
      </w:r>
      <w:proofErr w:type="spellEnd"/>
      <w:r>
        <w:rPr>
          <w:sz w:val="28"/>
          <w:szCs w:val="28"/>
        </w:rPr>
        <w:t xml:space="preserve"> из районного бюджета – 2891,00 рублей).</w:t>
      </w:r>
    </w:p>
    <w:p w:rsidR="00343E06" w:rsidRDefault="00343E06" w:rsidP="006C4013">
      <w:pPr>
        <w:ind w:right="141" w:firstLine="709"/>
        <w:jc w:val="both"/>
        <w:rPr>
          <w:sz w:val="28"/>
          <w:szCs w:val="28"/>
        </w:rPr>
      </w:pPr>
    </w:p>
    <w:p w:rsidR="006C4013" w:rsidRDefault="00D0072F" w:rsidP="006C4013">
      <w:pPr>
        <w:ind w:right="141" w:firstLine="709"/>
        <w:jc w:val="both"/>
        <w:rPr>
          <w:sz w:val="28"/>
          <w:szCs w:val="28"/>
        </w:rPr>
      </w:pPr>
      <w:r>
        <w:rPr>
          <w:sz w:val="28"/>
          <w:szCs w:val="28"/>
        </w:rPr>
        <w:t xml:space="preserve">При анализе финансового отчета СКЦ </w:t>
      </w:r>
      <w:proofErr w:type="spellStart"/>
      <w:r>
        <w:rPr>
          <w:sz w:val="28"/>
          <w:szCs w:val="28"/>
        </w:rPr>
        <w:t>Костенки</w:t>
      </w:r>
      <w:proofErr w:type="spellEnd"/>
      <w:r>
        <w:rPr>
          <w:sz w:val="28"/>
          <w:szCs w:val="28"/>
        </w:rPr>
        <w:t xml:space="preserve"> выявлены следующие недостатки:</w:t>
      </w:r>
    </w:p>
    <w:p w:rsidR="00D0072F" w:rsidRDefault="00343E06" w:rsidP="00343E06">
      <w:pPr>
        <w:pStyle w:val="a3"/>
        <w:numPr>
          <w:ilvl w:val="0"/>
          <w:numId w:val="2"/>
        </w:numPr>
        <w:ind w:left="709" w:right="141" w:hanging="425"/>
        <w:jc w:val="both"/>
        <w:rPr>
          <w:sz w:val="28"/>
          <w:szCs w:val="28"/>
        </w:rPr>
      </w:pPr>
      <w:r>
        <w:rPr>
          <w:sz w:val="28"/>
          <w:szCs w:val="28"/>
        </w:rPr>
        <w:t>Нет стоимостной оценки безвозмездно полученных имущественных прав в соответствии с п.2.7.3 Положения о предоставлении грантов (</w:t>
      </w:r>
      <w:proofErr w:type="gramStart"/>
      <w:r>
        <w:rPr>
          <w:sz w:val="28"/>
          <w:szCs w:val="28"/>
        </w:rPr>
        <w:t>возможно</w:t>
      </w:r>
      <w:proofErr w:type="gramEnd"/>
      <w:r>
        <w:rPr>
          <w:sz w:val="28"/>
          <w:szCs w:val="28"/>
        </w:rPr>
        <w:t xml:space="preserve"> приложить предложения из сети интернет об аренде спортивных объектов);</w:t>
      </w:r>
    </w:p>
    <w:p w:rsidR="00343E06" w:rsidRDefault="00F87367" w:rsidP="00343E06">
      <w:pPr>
        <w:pStyle w:val="a3"/>
        <w:numPr>
          <w:ilvl w:val="0"/>
          <w:numId w:val="2"/>
        </w:numPr>
        <w:ind w:left="709" w:right="141" w:hanging="425"/>
        <w:jc w:val="both"/>
        <w:rPr>
          <w:sz w:val="28"/>
          <w:szCs w:val="28"/>
        </w:rPr>
      </w:pPr>
      <w:r>
        <w:rPr>
          <w:sz w:val="28"/>
          <w:szCs w:val="28"/>
        </w:rPr>
        <w:lastRenderedPageBreak/>
        <w:t>Нет стоимостной оценки (расчета) труда добровольцев в соответствии с п.2.7.3 Положения о предоставлении грантов;</w:t>
      </w:r>
    </w:p>
    <w:p w:rsidR="00F87367" w:rsidRDefault="00F87367" w:rsidP="00343E06">
      <w:pPr>
        <w:pStyle w:val="a3"/>
        <w:numPr>
          <w:ilvl w:val="0"/>
          <w:numId w:val="2"/>
        </w:numPr>
        <w:ind w:left="709" w:right="141" w:hanging="425"/>
        <w:jc w:val="both"/>
        <w:rPr>
          <w:sz w:val="28"/>
          <w:szCs w:val="28"/>
        </w:rPr>
      </w:pPr>
      <w:r>
        <w:rPr>
          <w:sz w:val="28"/>
          <w:szCs w:val="28"/>
        </w:rPr>
        <w:t>По договору №62 от 01.01.2021г на оказание услуг (передача отчетов) в отчете не  приложена платежка;</w:t>
      </w:r>
    </w:p>
    <w:p w:rsidR="00F87367" w:rsidRDefault="00F87367" w:rsidP="00343E06">
      <w:pPr>
        <w:pStyle w:val="a3"/>
        <w:numPr>
          <w:ilvl w:val="0"/>
          <w:numId w:val="2"/>
        </w:numPr>
        <w:ind w:left="709" w:right="141" w:hanging="425"/>
        <w:jc w:val="both"/>
        <w:rPr>
          <w:sz w:val="28"/>
          <w:szCs w:val="28"/>
        </w:rPr>
      </w:pPr>
      <w:r>
        <w:rPr>
          <w:sz w:val="28"/>
          <w:szCs w:val="28"/>
        </w:rPr>
        <w:t>Все документы в финансовом отчете не пронумерованы и не заверены;</w:t>
      </w:r>
    </w:p>
    <w:p w:rsidR="00F87367" w:rsidRDefault="00F87367" w:rsidP="00343E06">
      <w:pPr>
        <w:pStyle w:val="a3"/>
        <w:numPr>
          <w:ilvl w:val="0"/>
          <w:numId w:val="2"/>
        </w:numPr>
        <w:ind w:left="709" w:right="141" w:hanging="425"/>
        <w:jc w:val="both"/>
        <w:rPr>
          <w:sz w:val="28"/>
          <w:szCs w:val="28"/>
        </w:rPr>
      </w:pPr>
      <w:r>
        <w:rPr>
          <w:sz w:val="28"/>
          <w:szCs w:val="28"/>
        </w:rPr>
        <w:t xml:space="preserve">Считаю недостатком отсутствие в договорах о безвозмездной добровольческой деятельности  конкретных норм </w:t>
      </w:r>
      <w:r w:rsidR="00F460E6">
        <w:rPr>
          <w:sz w:val="28"/>
          <w:szCs w:val="28"/>
        </w:rPr>
        <w:t>расходов на питание и транспортные расходы;</w:t>
      </w:r>
    </w:p>
    <w:p w:rsidR="00F460E6" w:rsidRDefault="007A1998" w:rsidP="00343E06">
      <w:pPr>
        <w:pStyle w:val="a3"/>
        <w:numPr>
          <w:ilvl w:val="0"/>
          <w:numId w:val="2"/>
        </w:numPr>
        <w:ind w:left="709" w:right="141" w:hanging="425"/>
        <w:jc w:val="both"/>
        <w:rPr>
          <w:sz w:val="28"/>
          <w:szCs w:val="28"/>
        </w:rPr>
      </w:pPr>
      <w:r>
        <w:rPr>
          <w:sz w:val="28"/>
          <w:szCs w:val="28"/>
        </w:rPr>
        <w:t>В отчете Чурсанова М.Г. за январь 2021 года заявлена сумма 4008 рублей, а по чекам –</w:t>
      </w:r>
      <w:r w:rsidR="00F91006">
        <w:rPr>
          <w:sz w:val="28"/>
          <w:szCs w:val="28"/>
        </w:rPr>
        <w:t xml:space="preserve"> 4009,61 рублей;</w:t>
      </w:r>
    </w:p>
    <w:p w:rsidR="00F91006" w:rsidRDefault="00F91006" w:rsidP="00F91006">
      <w:pPr>
        <w:pStyle w:val="a3"/>
        <w:numPr>
          <w:ilvl w:val="0"/>
          <w:numId w:val="2"/>
        </w:numPr>
        <w:ind w:left="709" w:right="141" w:hanging="425"/>
        <w:jc w:val="both"/>
        <w:rPr>
          <w:sz w:val="28"/>
          <w:szCs w:val="28"/>
        </w:rPr>
      </w:pPr>
      <w:r>
        <w:rPr>
          <w:sz w:val="28"/>
          <w:szCs w:val="28"/>
        </w:rPr>
        <w:t>В отчете Чурсанова М.Г. за февраль 2021 года заявлена сумма 3106 рублей, а по чекам – 3024,68 рублей (принято к учету 3000 рублей);</w:t>
      </w:r>
    </w:p>
    <w:p w:rsidR="00F91006" w:rsidRDefault="00F91006" w:rsidP="00F91006">
      <w:pPr>
        <w:pStyle w:val="a3"/>
        <w:numPr>
          <w:ilvl w:val="0"/>
          <w:numId w:val="2"/>
        </w:numPr>
        <w:ind w:left="709" w:right="141" w:hanging="425"/>
        <w:jc w:val="both"/>
        <w:rPr>
          <w:sz w:val="28"/>
          <w:szCs w:val="28"/>
        </w:rPr>
      </w:pPr>
      <w:r>
        <w:rPr>
          <w:sz w:val="28"/>
          <w:szCs w:val="28"/>
        </w:rPr>
        <w:t>В отчете Чурсанова М.Г. за март 2021 года заявлена сумма 3108 рублей, а по чекам – 3108,20 рублей (принято к учету 3000 рублей);</w:t>
      </w:r>
    </w:p>
    <w:p w:rsidR="00F91006" w:rsidRDefault="00F91006" w:rsidP="00F91006">
      <w:pPr>
        <w:pStyle w:val="a3"/>
        <w:numPr>
          <w:ilvl w:val="0"/>
          <w:numId w:val="2"/>
        </w:numPr>
        <w:ind w:left="709" w:right="141" w:hanging="425"/>
        <w:jc w:val="both"/>
        <w:rPr>
          <w:sz w:val="28"/>
          <w:szCs w:val="28"/>
        </w:rPr>
      </w:pPr>
      <w:r>
        <w:rPr>
          <w:sz w:val="28"/>
          <w:szCs w:val="28"/>
        </w:rPr>
        <w:t>В отчете Чурсанова М.Г. за апрель 2021 года заявлена сумма 3158 рублей, а по чекам – 3159,41 рублей (принято к учету 3000 рублей);</w:t>
      </w:r>
    </w:p>
    <w:p w:rsidR="00F91006" w:rsidRDefault="00F91006" w:rsidP="00F91006">
      <w:pPr>
        <w:pStyle w:val="a3"/>
        <w:numPr>
          <w:ilvl w:val="0"/>
          <w:numId w:val="2"/>
        </w:numPr>
        <w:ind w:left="709" w:right="141" w:hanging="425"/>
        <w:jc w:val="both"/>
        <w:rPr>
          <w:sz w:val="28"/>
          <w:szCs w:val="28"/>
        </w:rPr>
      </w:pPr>
      <w:r>
        <w:rPr>
          <w:sz w:val="28"/>
          <w:szCs w:val="28"/>
        </w:rPr>
        <w:t>В отчете Чурсанова М.Г. за май 2021 года заявлена сумма 3035 рублей, а по чекам – 3</w:t>
      </w:r>
      <w:r w:rsidR="00F62CE6">
        <w:rPr>
          <w:sz w:val="28"/>
          <w:szCs w:val="28"/>
        </w:rPr>
        <w:t>035</w:t>
      </w:r>
      <w:r>
        <w:rPr>
          <w:sz w:val="28"/>
          <w:szCs w:val="28"/>
        </w:rPr>
        <w:t>,</w:t>
      </w:r>
      <w:r w:rsidR="00F62CE6">
        <w:rPr>
          <w:sz w:val="28"/>
          <w:szCs w:val="28"/>
        </w:rPr>
        <w:t>63</w:t>
      </w:r>
      <w:r>
        <w:rPr>
          <w:sz w:val="28"/>
          <w:szCs w:val="28"/>
        </w:rPr>
        <w:t xml:space="preserve"> рубле</w:t>
      </w:r>
      <w:r w:rsidR="008466CB">
        <w:rPr>
          <w:sz w:val="28"/>
          <w:szCs w:val="28"/>
        </w:rPr>
        <w:t>й (принято к учету 3000 рублей).</w:t>
      </w:r>
    </w:p>
    <w:p w:rsidR="00DA3561" w:rsidRDefault="00DA3561" w:rsidP="005D7116">
      <w:pPr>
        <w:ind w:right="141" w:firstLine="709"/>
        <w:jc w:val="both"/>
        <w:rPr>
          <w:sz w:val="28"/>
          <w:szCs w:val="28"/>
        </w:rPr>
      </w:pPr>
    </w:p>
    <w:p w:rsidR="00D94C84" w:rsidRDefault="008466CB" w:rsidP="00D82283">
      <w:pPr>
        <w:ind w:right="141" w:firstLine="709"/>
        <w:jc w:val="both"/>
        <w:rPr>
          <w:sz w:val="28"/>
          <w:szCs w:val="28"/>
        </w:rPr>
      </w:pPr>
      <w:r>
        <w:rPr>
          <w:sz w:val="28"/>
          <w:szCs w:val="28"/>
        </w:rPr>
        <w:t xml:space="preserve">Аналогичная ситуация </w:t>
      </w:r>
      <w:r w:rsidR="005D7116">
        <w:rPr>
          <w:sz w:val="28"/>
          <w:szCs w:val="28"/>
        </w:rPr>
        <w:t>между суммами по чеку и принятыми суммами к учету по</w:t>
      </w:r>
      <w:r>
        <w:rPr>
          <w:sz w:val="28"/>
          <w:szCs w:val="28"/>
        </w:rPr>
        <w:t xml:space="preserve"> Сы</w:t>
      </w:r>
      <w:r w:rsidR="00F54433">
        <w:rPr>
          <w:sz w:val="28"/>
          <w:szCs w:val="28"/>
        </w:rPr>
        <w:t>ркин</w:t>
      </w:r>
      <w:r w:rsidR="005D7116">
        <w:rPr>
          <w:sz w:val="28"/>
          <w:szCs w:val="28"/>
        </w:rPr>
        <w:t>у</w:t>
      </w:r>
      <w:r w:rsidR="00F54433">
        <w:rPr>
          <w:sz w:val="28"/>
          <w:szCs w:val="28"/>
        </w:rPr>
        <w:t xml:space="preserve"> Виктор</w:t>
      </w:r>
      <w:r w:rsidR="005D7116">
        <w:rPr>
          <w:sz w:val="28"/>
          <w:szCs w:val="28"/>
        </w:rPr>
        <w:t>у</w:t>
      </w:r>
      <w:r w:rsidR="00F54433">
        <w:rPr>
          <w:sz w:val="28"/>
          <w:szCs w:val="28"/>
        </w:rPr>
        <w:t xml:space="preserve"> Владимирович</w:t>
      </w:r>
      <w:r w:rsidR="005D7116">
        <w:rPr>
          <w:sz w:val="28"/>
          <w:szCs w:val="28"/>
        </w:rPr>
        <w:t>у</w:t>
      </w:r>
      <w:r w:rsidR="00DA3561">
        <w:rPr>
          <w:sz w:val="28"/>
          <w:szCs w:val="28"/>
        </w:rPr>
        <w:t xml:space="preserve">, по </w:t>
      </w:r>
      <w:r w:rsidR="005D7116">
        <w:rPr>
          <w:sz w:val="28"/>
          <w:szCs w:val="28"/>
        </w:rPr>
        <w:t>Ореховой Людмиле Ивановне</w:t>
      </w:r>
      <w:r w:rsidR="00DA3561">
        <w:rPr>
          <w:sz w:val="28"/>
          <w:szCs w:val="28"/>
        </w:rPr>
        <w:t>,</w:t>
      </w:r>
      <w:r w:rsidR="005D7116">
        <w:rPr>
          <w:sz w:val="28"/>
          <w:szCs w:val="28"/>
        </w:rPr>
        <w:t xml:space="preserve"> </w:t>
      </w:r>
      <w:r w:rsidR="00D82283">
        <w:rPr>
          <w:sz w:val="28"/>
          <w:szCs w:val="28"/>
        </w:rPr>
        <w:t xml:space="preserve">по Вербицкому Ивану Евгеньевичу </w:t>
      </w:r>
      <w:r w:rsidR="00DA3561">
        <w:rPr>
          <w:sz w:val="28"/>
          <w:szCs w:val="28"/>
        </w:rPr>
        <w:t xml:space="preserve">и по </w:t>
      </w:r>
      <w:r w:rsidR="00D94C84">
        <w:rPr>
          <w:sz w:val="28"/>
          <w:szCs w:val="28"/>
        </w:rPr>
        <w:t>Серебренникову Илье Петровичу</w:t>
      </w:r>
      <w:r w:rsidR="00DA3561">
        <w:rPr>
          <w:sz w:val="28"/>
          <w:szCs w:val="28"/>
        </w:rPr>
        <w:t>. Кроме того</w:t>
      </w:r>
      <w:r w:rsidR="00D94C84">
        <w:rPr>
          <w:sz w:val="28"/>
          <w:szCs w:val="28"/>
        </w:rPr>
        <w:t xml:space="preserve"> по авансовым отчетам № 21 от 01.06.2021 и  по № 13 от 01.04.2021 нет платежных поручений о перечислении средств со счета СКЦ </w:t>
      </w:r>
      <w:proofErr w:type="spellStart"/>
      <w:r w:rsidR="00D94C84">
        <w:rPr>
          <w:sz w:val="28"/>
          <w:szCs w:val="28"/>
        </w:rPr>
        <w:t>Костенки</w:t>
      </w:r>
      <w:proofErr w:type="spellEnd"/>
      <w:r w:rsidR="00D94C84">
        <w:rPr>
          <w:sz w:val="28"/>
          <w:szCs w:val="28"/>
        </w:rPr>
        <w:t xml:space="preserve"> Серебрянникову И.П. </w:t>
      </w:r>
      <w:r w:rsidR="00526E6A">
        <w:rPr>
          <w:sz w:val="28"/>
          <w:szCs w:val="28"/>
        </w:rPr>
        <w:t>По авансовому отчету №13 от 01.04.2021 чеки не читаются.</w:t>
      </w:r>
    </w:p>
    <w:p w:rsidR="005D7116" w:rsidRDefault="005D7116" w:rsidP="005D7116">
      <w:pPr>
        <w:ind w:right="141" w:firstLine="709"/>
        <w:jc w:val="both"/>
        <w:rPr>
          <w:sz w:val="28"/>
          <w:szCs w:val="28"/>
        </w:rPr>
      </w:pPr>
    </w:p>
    <w:p w:rsidR="00DA3561" w:rsidRDefault="00DA3561" w:rsidP="005D7116">
      <w:pPr>
        <w:ind w:right="141" w:firstLine="709"/>
        <w:jc w:val="both"/>
        <w:rPr>
          <w:sz w:val="28"/>
          <w:szCs w:val="28"/>
        </w:rPr>
      </w:pPr>
      <w:r>
        <w:rPr>
          <w:sz w:val="28"/>
          <w:szCs w:val="28"/>
        </w:rPr>
        <w:t xml:space="preserve">Общая </w:t>
      </w:r>
      <w:proofErr w:type="gramStart"/>
      <w:r>
        <w:rPr>
          <w:sz w:val="28"/>
          <w:szCs w:val="28"/>
        </w:rPr>
        <w:t>сумма</w:t>
      </w:r>
      <w:proofErr w:type="gramEnd"/>
      <w:r>
        <w:rPr>
          <w:sz w:val="28"/>
          <w:szCs w:val="28"/>
        </w:rPr>
        <w:t xml:space="preserve"> принятая к учету по оправдательным документам составила 145071,80 рублей, что превышает выделенную из бюджета сумму субсидии на 520,80 рублей (145071,80-144551,00).</w:t>
      </w:r>
      <w:r w:rsidR="000A31D4">
        <w:rPr>
          <w:sz w:val="28"/>
          <w:szCs w:val="28"/>
        </w:rPr>
        <w:t xml:space="preserve"> Разница с отчетом – 1640,80 рублей.</w:t>
      </w:r>
    </w:p>
    <w:p w:rsidR="00C868FC" w:rsidRDefault="00C868FC" w:rsidP="005D7116">
      <w:pPr>
        <w:ind w:right="141" w:firstLine="709"/>
        <w:jc w:val="both"/>
        <w:rPr>
          <w:sz w:val="28"/>
          <w:szCs w:val="28"/>
        </w:rPr>
      </w:pPr>
    </w:p>
    <w:p w:rsidR="00C868FC" w:rsidRDefault="00C868FC" w:rsidP="005D7116">
      <w:pPr>
        <w:ind w:right="141" w:firstLine="709"/>
        <w:jc w:val="both"/>
        <w:rPr>
          <w:sz w:val="28"/>
          <w:szCs w:val="28"/>
        </w:rPr>
      </w:pPr>
      <w:r>
        <w:rPr>
          <w:sz w:val="28"/>
          <w:szCs w:val="28"/>
        </w:rPr>
        <w:t xml:space="preserve">В финансовом отчете отсутствует договор между администрацией района и СКЦ </w:t>
      </w:r>
      <w:proofErr w:type="spellStart"/>
      <w:r>
        <w:rPr>
          <w:sz w:val="28"/>
          <w:szCs w:val="28"/>
        </w:rPr>
        <w:t>Костенки</w:t>
      </w:r>
      <w:proofErr w:type="spellEnd"/>
      <w:r>
        <w:rPr>
          <w:sz w:val="28"/>
          <w:szCs w:val="28"/>
        </w:rPr>
        <w:t>.</w:t>
      </w:r>
      <w:r w:rsidR="001D4FDF">
        <w:rPr>
          <w:sz w:val="28"/>
          <w:szCs w:val="28"/>
        </w:rPr>
        <w:t xml:space="preserve"> Не подшита программа и отчет о результативности её выполнения.</w:t>
      </w:r>
    </w:p>
    <w:p w:rsidR="00C868FC" w:rsidRDefault="00C868FC" w:rsidP="005D7116">
      <w:pPr>
        <w:ind w:right="141" w:firstLine="709"/>
        <w:jc w:val="both"/>
        <w:rPr>
          <w:sz w:val="28"/>
          <w:szCs w:val="28"/>
        </w:rPr>
      </w:pPr>
    </w:p>
    <w:p w:rsidR="00C868FC" w:rsidRDefault="00C868FC" w:rsidP="00C868FC">
      <w:pPr>
        <w:jc w:val="center"/>
        <w:rPr>
          <w:b/>
          <w:i/>
          <w:sz w:val="28"/>
          <w:szCs w:val="28"/>
        </w:rPr>
      </w:pPr>
      <w:r w:rsidRPr="003B641A">
        <w:rPr>
          <w:b/>
          <w:i/>
          <w:sz w:val="28"/>
          <w:szCs w:val="28"/>
        </w:rPr>
        <w:t xml:space="preserve">Обследование финансового отчета АНО </w:t>
      </w:r>
      <w:r>
        <w:rPr>
          <w:b/>
          <w:i/>
          <w:sz w:val="28"/>
          <w:szCs w:val="28"/>
        </w:rPr>
        <w:t>Культурно-спортивный центр</w:t>
      </w:r>
      <w:r w:rsidRPr="003B641A">
        <w:rPr>
          <w:b/>
          <w:i/>
          <w:sz w:val="28"/>
          <w:szCs w:val="28"/>
        </w:rPr>
        <w:t xml:space="preserve"> «</w:t>
      </w:r>
      <w:r>
        <w:rPr>
          <w:b/>
          <w:i/>
          <w:sz w:val="28"/>
          <w:szCs w:val="28"/>
        </w:rPr>
        <w:t>Ориентир</w:t>
      </w:r>
      <w:r w:rsidRPr="003B641A">
        <w:rPr>
          <w:b/>
          <w:i/>
          <w:sz w:val="28"/>
          <w:szCs w:val="28"/>
        </w:rPr>
        <w:t>».</w:t>
      </w:r>
    </w:p>
    <w:p w:rsidR="00C868FC" w:rsidRDefault="00C868FC" w:rsidP="005D7116">
      <w:pPr>
        <w:ind w:right="141" w:firstLine="709"/>
        <w:jc w:val="both"/>
        <w:rPr>
          <w:sz w:val="28"/>
          <w:szCs w:val="28"/>
        </w:rPr>
      </w:pPr>
    </w:p>
    <w:p w:rsidR="00C868FC" w:rsidRDefault="001D4FDF" w:rsidP="005D7116">
      <w:pPr>
        <w:ind w:right="141" w:firstLine="709"/>
        <w:jc w:val="both"/>
        <w:rPr>
          <w:sz w:val="28"/>
          <w:szCs w:val="28"/>
        </w:rPr>
      </w:pPr>
      <w:r>
        <w:rPr>
          <w:sz w:val="28"/>
          <w:szCs w:val="28"/>
        </w:rPr>
        <w:t>Финансовый отчет прошит</w:t>
      </w:r>
      <w:r w:rsidR="00D73144">
        <w:rPr>
          <w:sz w:val="28"/>
          <w:szCs w:val="28"/>
        </w:rPr>
        <w:t>,</w:t>
      </w:r>
      <w:r>
        <w:rPr>
          <w:sz w:val="28"/>
          <w:szCs w:val="28"/>
        </w:rPr>
        <w:t xml:space="preserve"> но не заверен и не пронумерован. </w:t>
      </w:r>
    </w:p>
    <w:p w:rsidR="001D4FDF" w:rsidRDefault="001D4FDF" w:rsidP="005D7116">
      <w:pPr>
        <w:ind w:right="141" w:firstLine="709"/>
        <w:jc w:val="both"/>
        <w:rPr>
          <w:sz w:val="28"/>
          <w:szCs w:val="28"/>
        </w:rPr>
      </w:pPr>
      <w:r>
        <w:rPr>
          <w:sz w:val="28"/>
          <w:szCs w:val="28"/>
        </w:rPr>
        <w:t>Как и в предыдущем отчете нет расчета стоимостной оценки аренды генератора и стоимости оказания услуг игротеки. Отчет о достигнутых программой результатах отсутствует.</w:t>
      </w:r>
    </w:p>
    <w:p w:rsidR="001D4FDF" w:rsidRDefault="001D4FDF" w:rsidP="005D7116">
      <w:pPr>
        <w:ind w:right="141" w:firstLine="709"/>
        <w:jc w:val="both"/>
        <w:rPr>
          <w:sz w:val="28"/>
          <w:szCs w:val="28"/>
        </w:rPr>
      </w:pPr>
      <w:r>
        <w:rPr>
          <w:sz w:val="28"/>
          <w:szCs w:val="28"/>
        </w:rPr>
        <w:lastRenderedPageBreak/>
        <w:t>В соответствии с актами к договору на безвозмездное выполнение работ (оказание услуг) сумма составила -64055 рублей, отклонение от отчета – 12500 рублей:</w:t>
      </w:r>
    </w:p>
    <w:p w:rsidR="001D4FDF" w:rsidRDefault="001D4FDF" w:rsidP="001D4FDF">
      <w:pPr>
        <w:pStyle w:val="a3"/>
        <w:numPr>
          <w:ilvl w:val="0"/>
          <w:numId w:val="3"/>
        </w:numPr>
        <w:ind w:right="141"/>
        <w:jc w:val="both"/>
        <w:rPr>
          <w:sz w:val="28"/>
          <w:szCs w:val="28"/>
        </w:rPr>
      </w:pPr>
      <w:r>
        <w:rPr>
          <w:sz w:val="28"/>
          <w:szCs w:val="28"/>
        </w:rPr>
        <w:t>Акт от 7.08.2021</w:t>
      </w:r>
      <w:r w:rsidR="00DF60ED">
        <w:rPr>
          <w:sz w:val="28"/>
          <w:szCs w:val="28"/>
        </w:rPr>
        <w:t>г</w:t>
      </w:r>
      <w:r>
        <w:rPr>
          <w:sz w:val="28"/>
          <w:szCs w:val="28"/>
        </w:rPr>
        <w:t xml:space="preserve"> – 12500,00 рублей,</w:t>
      </w:r>
    </w:p>
    <w:p w:rsidR="001D4FDF" w:rsidRDefault="001D4FDF" w:rsidP="001D4FDF">
      <w:pPr>
        <w:pStyle w:val="a3"/>
        <w:numPr>
          <w:ilvl w:val="0"/>
          <w:numId w:val="3"/>
        </w:numPr>
        <w:ind w:right="141"/>
        <w:jc w:val="both"/>
        <w:rPr>
          <w:sz w:val="28"/>
          <w:szCs w:val="28"/>
        </w:rPr>
      </w:pPr>
      <w:r>
        <w:rPr>
          <w:sz w:val="28"/>
          <w:szCs w:val="28"/>
        </w:rPr>
        <w:t>Акт от 21.08.2021</w:t>
      </w:r>
      <w:r w:rsidR="00DF60ED">
        <w:rPr>
          <w:sz w:val="28"/>
          <w:szCs w:val="28"/>
        </w:rPr>
        <w:t>г</w:t>
      </w:r>
      <w:r>
        <w:rPr>
          <w:sz w:val="28"/>
          <w:szCs w:val="28"/>
        </w:rPr>
        <w:t xml:space="preserve"> </w:t>
      </w:r>
      <w:r w:rsidR="00DF60ED">
        <w:rPr>
          <w:sz w:val="28"/>
          <w:szCs w:val="28"/>
        </w:rPr>
        <w:t>–</w:t>
      </w:r>
      <w:r>
        <w:rPr>
          <w:sz w:val="28"/>
          <w:szCs w:val="28"/>
        </w:rPr>
        <w:t xml:space="preserve"> </w:t>
      </w:r>
      <w:r w:rsidR="00DF60ED">
        <w:rPr>
          <w:sz w:val="28"/>
          <w:szCs w:val="28"/>
        </w:rPr>
        <w:t>12500,00 рублей,</w:t>
      </w:r>
    </w:p>
    <w:p w:rsidR="00DF60ED" w:rsidRDefault="00DF60ED" w:rsidP="001D4FDF">
      <w:pPr>
        <w:pStyle w:val="a3"/>
        <w:numPr>
          <w:ilvl w:val="0"/>
          <w:numId w:val="3"/>
        </w:numPr>
        <w:ind w:right="141"/>
        <w:jc w:val="both"/>
        <w:rPr>
          <w:sz w:val="28"/>
          <w:szCs w:val="28"/>
        </w:rPr>
      </w:pPr>
      <w:r>
        <w:rPr>
          <w:sz w:val="28"/>
          <w:szCs w:val="28"/>
        </w:rPr>
        <w:t>Акт от 14.08.2021г  - 12500,00 рублей,</w:t>
      </w:r>
    </w:p>
    <w:p w:rsidR="00DF60ED" w:rsidRDefault="00DF60ED" w:rsidP="001D4FDF">
      <w:pPr>
        <w:pStyle w:val="a3"/>
        <w:numPr>
          <w:ilvl w:val="0"/>
          <w:numId w:val="3"/>
        </w:numPr>
        <w:ind w:right="141"/>
        <w:jc w:val="both"/>
        <w:rPr>
          <w:sz w:val="28"/>
          <w:szCs w:val="28"/>
        </w:rPr>
      </w:pPr>
      <w:r>
        <w:rPr>
          <w:sz w:val="28"/>
          <w:szCs w:val="28"/>
        </w:rPr>
        <w:t xml:space="preserve">Акт от 28.08.2021 г – 1555,00 рублей, </w:t>
      </w:r>
    </w:p>
    <w:p w:rsidR="00DF60ED" w:rsidRDefault="00DF60ED" w:rsidP="001D4FDF">
      <w:pPr>
        <w:pStyle w:val="a3"/>
        <w:numPr>
          <w:ilvl w:val="0"/>
          <w:numId w:val="3"/>
        </w:numPr>
        <w:ind w:right="141"/>
        <w:jc w:val="both"/>
        <w:rPr>
          <w:sz w:val="28"/>
          <w:szCs w:val="28"/>
        </w:rPr>
      </w:pPr>
      <w:r>
        <w:rPr>
          <w:sz w:val="28"/>
          <w:szCs w:val="28"/>
        </w:rPr>
        <w:t>Акт от 28.08.2021г – 12500,00 рублей,</w:t>
      </w:r>
    </w:p>
    <w:p w:rsidR="00DF60ED" w:rsidRDefault="00DF60ED" w:rsidP="001D4FDF">
      <w:pPr>
        <w:pStyle w:val="a3"/>
        <w:numPr>
          <w:ilvl w:val="0"/>
          <w:numId w:val="3"/>
        </w:numPr>
        <w:ind w:right="141"/>
        <w:jc w:val="both"/>
        <w:rPr>
          <w:sz w:val="28"/>
          <w:szCs w:val="28"/>
        </w:rPr>
      </w:pPr>
      <w:r>
        <w:rPr>
          <w:sz w:val="28"/>
          <w:szCs w:val="28"/>
        </w:rPr>
        <w:t>Акт от 11.09.2021г – 12500,00 рублей.</w:t>
      </w:r>
    </w:p>
    <w:p w:rsidR="00DF60ED" w:rsidRDefault="003F7B6C" w:rsidP="00DF60ED">
      <w:pPr>
        <w:ind w:right="141" w:firstLine="709"/>
        <w:jc w:val="both"/>
        <w:rPr>
          <w:sz w:val="28"/>
          <w:szCs w:val="28"/>
        </w:rPr>
      </w:pPr>
      <w:r>
        <w:rPr>
          <w:sz w:val="28"/>
          <w:szCs w:val="28"/>
        </w:rPr>
        <w:t>Остальные расходы по оправдательным документам соответствуют отчету</w:t>
      </w:r>
      <w:r w:rsidR="00D73144">
        <w:rPr>
          <w:sz w:val="28"/>
          <w:szCs w:val="28"/>
        </w:rPr>
        <w:t xml:space="preserve"> – 433414,00 рублей, что соответствует сумме субсидии, перечисленной из районного бюджета</w:t>
      </w:r>
      <w:r>
        <w:rPr>
          <w:sz w:val="28"/>
          <w:szCs w:val="28"/>
        </w:rPr>
        <w:t>.</w:t>
      </w:r>
    </w:p>
    <w:p w:rsidR="003F7B6C" w:rsidRDefault="003F7B6C" w:rsidP="00DF60ED">
      <w:pPr>
        <w:ind w:right="141" w:firstLine="709"/>
        <w:jc w:val="both"/>
        <w:rPr>
          <w:sz w:val="28"/>
          <w:szCs w:val="28"/>
        </w:rPr>
      </w:pPr>
    </w:p>
    <w:p w:rsidR="003F7B6C" w:rsidRDefault="003F7B6C" w:rsidP="003F7B6C">
      <w:pPr>
        <w:jc w:val="center"/>
        <w:rPr>
          <w:b/>
          <w:i/>
          <w:sz w:val="28"/>
          <w:szCs w:val="28"/>
        </w:rPr>
      </w:pPr>
      <w:r w:rsidRPr="003B641A">
        <w:rPr>
          <w:b/>
          <w:i/>
          <w:sz w:val="28"/>
          <w:szCs w:val="28"/>
        </w:rPr>
        <w:t xml:space="preserve">Обследование финансового отчета </w:t>
      </w:r>
      <w:r w:rsidRPr="003F7B6C">
        <w:rPr>
          <w:b/>
          <w:i/>
          <w:sz w:val="28"/>
          <w:szCs w:val="28"/>
        </w:rPr>
        <w:t>1.</w:t>
      </w:r>
      <w:r w:rsidRPr="003F7B6C">
        <w:rPr>
          <w:b/>
          <w:i/>
          <w:sz w:val="28"/>
          <w:szCs w:val="28"/>
        </w:rPr>
        <w:tab/>
      </w:r>
      <w:proofErr w:type="spellStart"/>
      <w:r w:rsidRPr="003F7B6C">
        <w:rPr>
          <w:b/>
          <w:i/>
          <w:sz w:val="28"/>
          <w:szCs w:val="28"/>
        </w:rPr>
        <w:t>Хохольская</w:t>
      </w:r>
      <w:proofErr w:type="spellEnd"/>
      <w:r w:rsidRPr="003F7B6C">
        <w:rPr>
          <w:b/>
          <w:i/>
          <w:sz w:val="28"/>
          <w:szCs w:val="28"/>
        </w:rPr>
        <w:t xml:space="preserve"> районная общественная организация Всероссийской общественной организации ветеранов (пенсионеров) войны, труда, Вооруженных сил и правоохранительных органов</w:t>
      </w:r>
      <w:r w:rsidRPr="003B641A">
        <w:rPr>
          <w:b/>
          <w:i/>
          <w:sz w:val="28"/>
          <w:szCs w:val="28"/>
        </w:rPr>
        <w:t>.</w:t>
      </w:r>
    </w:p>
    <w:p w:rsidR="003F7B6C" w:rsidRDefault="003F7B6C" w:rsidP="00DF60ED">
      <w:pPr>
        <w:ind w:right="141" w:firstLine="709"/>
        <w:jc w:val="both"/>
        <w:rPr>
          <w:sz w:val="28"/>
          <w:szCs w:val="28"/>
        </w:rPr>
      </w:pPr>
    </w:p>
    <w:p w:rsidR="00D73144" w:rsidRDefault="00D73144" w:rsidP="00D73144">
      <w:pPr>
        <w:ind w:right="141" w:firstLine="709"/>
        <w:jc w:val="both"/>
        <w:rPr>
          <w:sz w:val="28"/>
          <w:szCs w:val="28"/>
        </w:rPr>
      </w:pPr>
      <w:r>
        <w:rPr>
          <w:sz w:val="28"/>
          <w:szCs w:val="28"/>
        </w:rPr>
        <w:t>Финансовый отчет не прошит, не заверен и не пронумерован. Программа отсутствует, отчет о достигнутых результатах в ходе выполнения программы отсутствует.</w:t>
      </w:r>
    </w:p>
    <w:p w:rsidR="00D73144" w:rsidRDefault="00D73144" w:rsidP="00D73144">
      <w:pPr>
        <w:ind w:right="141" w:firstLine="709"/>
        <w:jc w:val="both"/>
        <w:rPr>
          <w:sz w:val="28"/>
          <w:szCs w:val="28"/>
        </w:rPr>
      </w:pPr>
      <w:r>
        <w:rPr>
          <w:sz w:val="28"/>
          <w:szCs w:val="28"/>
        </w:rPr>
        <w:t xml:space="preserve">Общая сумма расходов по документам соответствует финансовому отчету и превышает выделенную из района субсидию на 27250,00 рублей (545000,00- 517750,00). То есть </w:t>
      </w:r>
      <w:proofErr w:type="spellStart"/>
      <w:r>
        <w:rPr>
          <w:sz w:val="28"/>
          <w:szCs w:val="28"/>
        </w:rPr>
        <w:t>софинансирование</w:t>
      </w:r>
      <w:proofErr w:type="spellEnd"/>
      <w:r>
        <w:rPr>
          <w:sz w:val="28"/>
          <w:szCs w:val="28"/>
        </w:rPr>
        <w:t xml:space="preserve"> из внебюджетных источников составляет ровно 5%, что соответствует требованиям Положения. </w:t>
      </w:r>
    </w:p>
    <w:p w:rsidR="00D73144" w:rsidRDefault="00D73144" w:rsidP="00D73144">
      <w:pPr>
        <w:ind w:right="141" w:firstLine="709"/>
        <w:jc w:val="both"/>
        <w:rPr>
          <w:sz w:val="28"/>
          <w:szCs w:val="28"/>
        </w:rPr>
      </w:pPr>
      <w:r>
        <w:rPr>
          <w:sz w:val="28"/>
          <w:szCs w:val="28"/>
        </w:rPr>
        <w:t xml:space="preserve">В отчете отсутствует договор между администрацией района и </w:t>
      </w:r>
      <w:r w:rsidR="00A74B38">
        <w:rPr>
          <w:sz w:val="28"/>
          <w:szCs w:val="28"/>
        </w:rPr>
        <w:t>Советом ветеранов.</w:t>
      </w:r>
    </w:p>
    <w:p w:rsidR="003F7B6C" w:rsidRDefault="003F7B6C" w:rsidP="00DF60ED">
      <w:pPr>
        <w:ind w:right="141" w:firstLine="709"/>
        <w:jc w:val="both"/>
        <w:rPr>
          <w:sz w:val="28"/>
          <w:szCs w:val="28"/>
        </w:rPr>
      </w:pPr>
    </w:p>
    <w:p w:rsidR="005C566B" w:rsidRDefault="005C566B" w:rsidP="00DF60ED">
      <w:pPr>
        <w:ind w:right="141" w:firstLine="709"/>
        <w:jc w:val="both"/>
        <w:rPr>
          <w:sz w:val="28"/>
          <w:szCs w:val="28"/>
        </w:rPr>
      </w:pPr>
    </w:p>
    <w:p w:rsidR="005C566B" w:rsidRPr="005C566B" w:rsidRDefault="005C566B" w:rsidP="005C566B">
      <w:pPr>
        <w:rPr>
          <w:sz w:val="28"/>
          <w:szCs w:val="28"/>
        </w:rPr>
      </w:pPr>
    </w:p>
    <w:p w:rsidR="005C566B" w:rsidRPr="005C566B" w:rsidRDefault="005C566B" w:rsidP="005C566B">
      <w:pPr>
        <w:rPr>
          <w:sz w:val="28"/>
          <w:szCs w:val="28"/>
        </w:rPr>
      </w:pPr>
    </w:p>
    <w:p w:rsidR="005C566B" w:rsidRPr="005C566B" w:rsidRDefault="005C566B" w:rsidP="005C566B">
      <w:pPr>
        <w:rPr>
          <w:sz w:val="28"/>
          <w:szCs w:val="28"/>
        </w:rPr>
      </w:pPr>
    </w:p>
    <w:p w:rsidR="005C566B" w:rsidRDefault="005C566B" w:rsidP="005C566B">
      <w:pPr>
        <w:rPr>
          <w:sz w:val="28"/>
          <w:szCs w:val="28"/>
        </w:rPr>
      </w:pPr>
    </w:p>
    <w:p w:rsidR="00046E63" w:rsidRDefault="00046E63" w:rsidP="005C566B">
      <w:pPr>
        <w:rPr>
          <w:sz w:val="28"/>
          <w:szCs w:val="28"/>
        </w:rPr>
      </w:pPr>
    </w:p>
    <w:p w:rsidR="00046E63" w:rsidRDefault="00046E63" w:rsidP="005C566B">
      <w:pPr>
        <w:rPr>
          <w:sz w:val="28"/>
          <w:szCs w:val="28"/>
        </w:rPr>
      </w:pPr>
    </w:p>
    <w:p w:rsidR="00046E63" w:rsidRDefault="00046E63" w:rsidP="005C566B">
      <w:pPr>
        <w:rPr>
          <w:sz w:val="28"/>
          <w:szCs w:val="28"/>
        </w:rPr>
      </w:pPr>
    </w:p>
    <w:p w:rsidR="00046E63" w:rsidRDefault="00046E63" w:rsidP="005C566B">
      <w:pPr>
        <w:rPr>
          <w:sz w:val="28"/>
          <w:szCs w:val="28"/>
        </w:rPr>
      </w:pPr>
    </w:p>
    <w:p w:rsidR="00046E63" w:rsidRDefault="00046E63" w:rsidP="005C566B">
      <w:pPr>
        <w:rPr>
          <w:sz w:val="28"/>
          <w:szCs w:val="28"/>
        </w:rPr>
      </w:pPr>
    </w:p>
    <w:p w:rsidR="00046E63" w:rsidRDefault="00046E63" w:rsidP="005C566B">
      <w:pPr>
        <w:rPr>
          <w:sz w:val="28"/>
          <w:szCs w:val="28"/>
        </w:rPr>
      </w:pPr>
    </w:p>
    <w:p w:rsidR="00046E63" w:rsidRDefault="00046E63" w:rsidP="005C566B">
      <w:pPr>
        <w:rPr>
          <w:sz w:val="28"/>
          <w:szCs w:val="28"/>
        </w:rPr>
      </w:pPr>
    </w:p>
    <w:p w:rsidR="00046E63" w:rsidRPr="005C566B" w:rsidRDefault="00046E63" w:rsidP="005C566B">
      <w:pPr>
        <w:rPr>
          <w:sz w:val="28"/>
          <w:szCs w:val="28"/>
        </w:rPr>
      </w:pPr>
      <w:bookmarkStart w:id="0" w:name="_GoBack"/>
      <w:bookmarkEnd w:id="0"/>
    </w:p>
    <w:p w:rsidR="005C566B" w:rsidRPr="005C566B" w:rsidRDefault="005C566B" w:rsidP="005C566B">
      <w:pPr>
        <w:rPr>
          <w:sz w:val="28"/>
          <w:szCs w:val="28"/>
        </w:rPr>
      </w:pPr>
    </w:p>
    <w:p w:rsidR="005C566B" w:rsidRDefault="005C566B" w:rsidP="005C566B">
      <w:pPr>
        <w:rPr>
          <w:sz w:val="28"/>
          <w:szCs w:val="28"/>
        </w:rPr>
      </w:pPr>
    </w:p>
    <w:p w:rsidR="005C566B" w:rsidRDefault="005C566B" w:rsidP="005C566B">
      <w:pPr>
        <w:spacing w:line="480" w:lineRule="atLeast"/>
        <w:rPr>
          <w:rFonts w:ascii="Arial" w:hAnsi="Arial" w:cs="Arial"/>
          <w:color w:val="ED2228"/>
          <w:sz w:val="39"/>
          <w:szCs w:val="39"/>
        </w:rPr>
      </w:pPr>
      <w:r>
        <w:rPr>
          <w:rFonts w:ascii="Arial" w:hAnsi="Arial" w:cs="Arial"/>
          <w:color w:val="ED2228"/>
          <w:sz w:val="39"/>
          <w:szCs w:val="39"/>
        </w:rPr>
        <w:lastRenderedPageBreak/>
        <w:t>Об осуществлении Федеральным казначейством казначейского сопровождения средств местных бюджетов в случаях, установленных муниципальным актом о бюджете</w:t>
      </w:r>
    </w:p>
    <w:p w:rsidR="005C566B" w:rsidRDefault="005C566B" w:rsidP="005C566B">
      <w:pPr>
        <w:rPr>
          <w:rFonts w:ascii="Arial" w:hAnsi="Arial" w:cs="Arial"/>
          <w:color w:val="000000"/>
          <w:sz w:val="21"/>
          <w:szCs w:val="21"/>
        </w:rPr>
      </w:pPr>
      <w:r>
        <w:rPr>
          <w:rFonts w:ascii="Arial" w:hAnsi="Arial" w:cs="Arial"/>
          <w:noProof/>
          <w:color w:val="000000"/>
          <w:sz w:val="21"/>
          <w:szCs w:val="21"/>
        </w:rPr>
        <w:drawing>
          <wp:inline distT="0" distB="0" distL="0" distR="0">
            <wp:extent cx="1905000" cy="1905000"/>
            <wp:effectExtent l="0" t="0" r="0" b="0"/>
            <wp:docPr id="1" name="Рисунок 1" descr="https://bftcom.com/upload/resize_cache/iblock/ed1/200_200_2/ed162c7a7db2c6274019d67d4c38fe4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bftcom.com/upload/resize_cache/iblock/ed1/200_200_2/ed162c7a7db2c6274019d67d4c38fe4a.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5C566B" w:rsidRDefault="005C566B" w:rsidP="005C566B">
      <w:pPr>
        <w:pStyle w:val="a6"/>
        <w:spacing w:before="0" w:beforeAutospacing="0" w:after="0" w:afterAutospacing="0"/>
        <w:rPr>
          <w:rFonts w:ascii="Arial" w:hAnsi="Arial" w:cs="Arial"/>
          <w:color w:val="000000"/>
          <w:sz w:val="21"/>
          <w:szCs w:val="21"/>
        </w:rPr>
      </w:pPr>
      <w:r>
        <w:rPr>
          <w:rFonts w:ascii="Arial" w:hAnsi="Arial" w:cs="Arial"/>
          <w:b/>
          <w:bCs/>
          <w:color w:val="000000"/>
          <w:sz w:val="21"/>
          <w:szCs w:val="21"/>
        </w:rPr>
        <w:t>Автор</w:t>
      </w:r>
    </w:p>
    <w:p w:rsidR="005C566B" w:rsidRDefault="00046E63" w:rsidP="005C566B">
      <w:pPr>
        <w:pStyle w:val="a6"/>
        <w:spacing w:before="0" w:beforeAutospacing="0" w:after="0" w:afterAutospacing="0"/>
        <w:rPr>
          <w:rFonts w:ascii="Arial" w:hAnsi="Arial" w:cs="Arial"/>
          <w:color w:val="000000"/>
          <w:sz w:val="21"/>
          <w:szCs w:val="21"/>
        </w:rPr>
      </w:pPr>
      <w:hyperlink r:id="rId7" w:history="1">
        <w:r w:rsidR="005C566B">
          <w:rPr>
            <w:rStyle w:val="a7"/>
            <w:rFonts w:ascii="Arial" w:hAnsi="Arial" w:cs="Arial"/>
            <w:color w:val="DC0413"/>
            <w:sz w:val="21"/>
            <w:szCs w:val="21"/>
          </w:rPr>
          <w:t>Елена </w:t>
        </w:r>
        <w:r w:rsidR="005C566B">
          <w:rPr>
            <w:rStyle w:val="a7"/>
            <w:rFonts w:ascii="Arial" w:hAnsi="Arial" w:cs="Arial"/>
            <w:caps/>
            <w:color w:val="DC0413"/>
            <w:sz w:val="21"/>
            <w:szCs w:val="21"/>
          </w:rPr>
          <w:t>ЗЕНЦОВА</w:t>
        </w:r>
      </w:hyperlink>
      <w:r w:rsidR="005C566B">
        <w:rPr>
          <w:rFonts w:ascii="Arial" w:hAnsi="Arial" w:cs="Arial"/>
          <w:color w:val="000000"/>
          <w:sz w:val="21"/>
          <w:szCs w:val="21"/>
        </w:rPr>
        <w:t>,</w:t>
      </w:r>
    </w:p>
    <w:p w:rsidR="005C566B" w:rsidRDefault="005C566B" w:rsidP="005C566B">
      <w:pPr>
        <w:pStyle w:val="a6"/>
        <w:spacing w:before="240" w:beforeAutospacing="0" w:after="0" w:afterAutospacing="0"/>
        <w:rPr>
          <w:rFonts w:ascii="Arial" w:hAnsi="Arial" w:cs="Arial"/>
          <w:color w:val="000000"/>
          <w:sz w:val="21"/>
          <w:szCs w:val="21"/>
        </w:rPr>
      </w:pPr>
      <w:r>
        <w:rPr>
          <w:rFonts w:ascii="Arial" w:hAnsi="Arial" w:cs="Arial"/>
          <w:color w:val="000000"/>
          <w:sz w:val="21"/>
          <w:szCs w:val="21"/>
        </w:rPr>
        <w:t xml:space="preserve">Заместитель директора </w:t>
      </w:r>
      <w:proofErr w:type="spellStart"/>
      <w:r>
        <w:rPr>
          <w:rFonts w:ascii="Arial" w:hAnsi="Arial" w:cs="Arial"/>
          <w:color w:val="000000"/>
          <w:sz w:val="21"/>
          <w:szCs w:val="21"/>
        </w:rPr>
        <w:t>ДМАиК</w:t>
      </w:r>
      <w:proofErr w:type="spellEnd"/>
    </w:p>
    <w:p w:rsidR="005C566B" w:rsidRDefault="00046E63" w:rsidP="005C566B">
      <w:pPr>
        <w:pStyle w:val="a6"/>
        <w:spacing w:before="0" w:beforeAutospacing="0" w:after="0" w:afterAutospacing="0"/>
        <w:rPr>
          <w:rFonts w:ascii="Arial" w:hAnsi="Arial" w:cs="Arial"/>
          <w:color w:val="000000"/>
          <w:sz w:val="21"/>
          <w:szCs w:val="21"/>
        </w:rPr>
      </w:pPr>
      <w:hyperlink r:id="rId8" w:history="1">
        <w:r w:rsidR="005C566B">
          <w:rPr>
            <w:rStyle w:val="a7"/>
            <w:rFonts w:ascii="Arial" w:hAnsi="Arial" w:cs="Arial"/>
            <w:color w:val="ED2228"/>
            <w:bdr w:val="single" w:sz="12" w:space="0" w:color="ED2228" w:frame="1"/>
          </w:rPr>
          <w:t>Нет времени читать?</w:t>
        </w:r>
      </w:hyperlink>
    </w:p>
    <w:p w:rsidR="005C566B" w:rsidRDefault="005C566B" w:rsidP="005C566B">
      <w:pPr>
        <w:pStyle w:val="a6"/>
        <w:spacing w:before="0" w:beforeAutospacing="0" w:after="240" w:afterAutospacing="0"/>
        <w:rPr>
          <w:rFonts w:ascii="Arial" w:hAnsi="Arial" w:cs="Arial"/>
          <w:color w:val="000000"/>
          <w:sz w:val="27"/>
          <w:szCs w:val="27"/>
        </w:rPr>
      </w:pPr>
      <w:r>
        <w:rPr>
          <w:rFonts w:ascii="Arial" w:hAnsi="Arial" w:cs="Arial"/>
          <w:color w:val="000000"/>
          <w:sz w:val="27"/>
          <w:szCs w:val="27"/>
        </w:rPr>
        <w:t>Понравилась статья? Поделитесь!</w:t>
      </w:r>
    </w:p>
    <w:p w:rsidR="005C566B" w:rsidRDefault="005C566B" w:rsidP="005C566B">
      <w:pPr>
        <w:numPr>
          <w:ilvl w:val="0"/>
          <w:numId w:val="4"/>
        </w:numPr>
        <w:ind w:left="0" w:right="300"/>
        <w:textAlignment w:val="top"/>
        <w:rPr>
          <w:rFonts w:ascii="Arial" w:hAnsi="Arial" w:cs="Arial"/>
          <w:color w:val="000000"/>
          <w:sz w:val="20"/>
          <w:szCs w:val="20"/>
        </w:rPr>
      </w:pPr>
    </w:p>
    <w:p w:rsidR="005C566B" w:rsidRDefault="005C566B" w:rsidP="005C566B">
      <w:pPr>
        <w:numPr>
          <w:ilvl w:val="0"/>
          <w:numId w:val="4"/>
        </w:numPr>
        <w:ind w:left="0" w:right="300"/>
        <w:textAlignment w:val="top"/>
        <w:rPr>
          <w:rFonts w:ascii="Arial" w:hAnsi="Arial" w:cs="Arial"/>
          <w:color w:val="000000"/>
          <w:sz w:val="20"/>
          <w:szCs w:val="20"/>
        </w:rPr>
      </w:pPr>
    </w:p>
    <w:p w:rsidR="005C566B" w:rsidRDefault="005C566B" w:rsidP="005C566B">
      <w:pPr>
        <w:numPr>
          <w:ilvl w:val="0"/>
          <w:numId w:val="4"/>
        </w:numPr>
        <w:ind w:left="0"/>
        <w:textAlignment w:val="top"/>
        <w:rPr>
          <w:rFonts w:ascii="Arial" w:hAnsi="Arial" w:cs="Arial"/>
          <w:color w:val="000000"/>
          <w:sz w:val="20"/>
          <w:szCs w:val="20"/>
        </w:rPr>
      </w:pPr>
    </w:p>
    <w:p w:rsidR="005C566B" w:rsidRDefault="005C566B" w:rsidP="005C566B">
      <w:pPr>
        <w:pStyle w:val="a6"/>
        <w:spacing w:before="0" w:beforeAutospacing="0" w:after="0" w:afterAutospacing="0"/>
        <w:rPr>
          <w:rFonts w:ascii="Arial" w:hAnsi="Arial" w:cs="Arial"/>
          <w:color w:val="000000"/>
          <w:sz w:val="21"/>
          <w:szCs w:val="21"/>
        </w:rPr>
      </w:pPr>
      <w:r>
        <w:rPr>
          <w:rStyle w:val="a8"/>
          <w:rFonts w:ascii="Arial" w:hAnsi="Arial" w:cs="Arial"/>
          <w:color w:val="003366"/>
          <w:sz w:val="21"/>
          <w:szCs w:val="21"/>
        </w:rPr>
        <w:t>ВОПРОС:</w:t>
      </w:r>
    </w:p>
    <w:p w:rsidR="005C566B" w:rsidRDefault="005C566B" w:rsidP="005C566B">
      <w:pPr>
        <w:pStyle w:val="a6"/>
        <w:spacing w:before="0" w:beforeAutospacing="0" w:after="0" w:afterAutospacing="0"/>
        <w:rPr>
          <w:rFonts w:ascii="Arial" w:hAnsi="Arial" w:cs="Arial"/>
          <w:color w:val="000000"/>
          <w:sz w:val="21"/>
          <w:szCs w:val="21"/>
        </w:rPr>
      </w:pPr>
      <w:r>
        <w:rPr>
          <w:rFonts w:ascii="Arial" w:hAnsi="Arial" w:cs="Arial"/>
          <w:color w:val="003366"/>
          <w:sz w:val="21"/>
          <w:szCs w:val="21"/>
        </w:rPr>
        <w:t xml:space="preserve">Если  функции переданы федеральному казначейству казначейское сопровождение в </w:t>
      </w:r>
      <w:proofErr w:type="gramStart"/>
      <w:r>
        <w:rPr>
          <w:rFonts w:ascii="Arial" w:hAnsi="Arial" w:cs="Arial"/>
          <w:color w:val="003366"/>
          <w:sz w:val="21"/>
          <w:szCs w:val="21"/>
        </w:rPr>
        <w:t>случаях, установленных муниципальным актом о бюджете</w:t>
      </w:r>
      <w:proofErr w:type="gramEnd"/>
      <w:r>
        <w:rPr>
          <w:rFonts w:ascii="Arial" w:hAnsi="Arial" w:cs="Arial"/>
          <w:color w:val="003366"/>
          <w:sz w:val="21"/>
          <w:szCs w:val="21"/>
        </w:rPr>
        <w:t xml:space="preserve"> будет осуществляться Федеральным казначейством? </w:t>
      </w:r>
      <w:r>
        <w:rPr>
          <w:rStyle w:val="a9"/>
          <w:rFonts w:ascii="Arial" w:hAnsi="Arial" w:cs="Arial"/>
          <w:color w:val="003366"/>
          <w:sz w:val="21"/>
          <w:szCs w:val="21"/>
        </w:rPr>
        <w:t>(вопрос обусловлен вступлением в силу норм федерального закона от 01.07.2021 № 244-ФЗ «О внесении изменений в Бюджетный кодекс Российской Федерации и о приостановлении действия пункта 4 статьи 242.17 Бюджетного кодекса Российской Федерации»)</w:t>
      </w:r>
    </w:p>
    <w:p w:rsidR="005C566B" w:rsidRDefault="005C566B" w:rsidP="005C566B">
      <w:pPr>
        <w:pStyle w:val="a6"/>
        <w:spacing w:before="0" w:beforeAutospacing="0" w:after="0" w:afterAutospacing="0"/>
        <w:rPr>
          <w:rFonts w:ascii="Arial" w:hAnsi="Arial" w:cs="Arial"/>
          <w:color w:val="000000"/>
          <w:sz w:val="21"/>
          <w:szCs w:val="21"/>
        </w:rPr>
      </w:pPr>
      <w:r>
        <w:rPr>
          <w:rStyle w:val="a9"/>
          <w:rFonts w:ascii="Arial" w:hAnsi="Arial" w:cs="Arial"/>
          <w:color w:val="000000"/>
          <w:sz w:val="21"/>
          <w:szCs w:val="21"/>
        </w:rPr>
        <w:t> </w:t>
      </w:r>
    </w:p>
    <w:p w:rsidR="005C566B" w:rsidRDefault="005C566B" w:rsidP="005C566B">
      <w:pPr>
        <w:pStyle w:val="a6"/>
        <w:spacing w:before="0" w:beforeAutospacing="0" w:after="0" w:afterAutospacing="0"/>
        <w:rPr>
          <w:rFonts w:ascii="Arial" w:hAnsi="Arial" w:cs="Arial"/>
          <w:color w:val="000000"/>
          <w:sz w:val="21"/>
          <w:szCs w:val="21"/>
        </w:rPr>
      </w:pPr>
      <w:r>
        <w:rPr>
          <w:rStyle w:val="a8"/>
          <w:rFonts w:ascii="Arial" w:hAnsi="Arial" w:cs="Arial"/>
          <w:color w:val="000000"/>
          <w:sz w:val="21"/>
          <w:szCs w:val="21"/>
        </w:rPr>
        <w:t>ОТВЕТ:</w:t>
      </w:r>
    </w:p>
    <w:p w:rsidR="005C566B" w:rsidRDefault="005C566B" w:rsidP="005C566B">
      <w:pPr>
        <w:pStyle w:val="a6"/>
        <w:spacing w:before="240" w:beforeAutospacing="0" w:after="240" w:afterAutospacing="0"/>
        <w:rPr>
          <w:rFonts w:ascii="Arial" w:hAnsi="Arial" w:cs="Arial"/>
          <w:color w:val="000000"/>
          <w:sz w:val="21"/>
          <w:szCs w:val="21"/>
        </w:rPr>
      </w:pPr>
      <w:r>
        <w:rPr>
          <w:rFonts w:ascii="Arial" w:hAnsi="Arial" w:cs="Arial"/>
          <w:color w:val="000000"/>
          <w:sz w:val="21"/>
          <w:szCs w:val="21"/>
        </w:rPr>
        <w:t>Бюджетным кодексом Российской Федерации (в ред. федерального закона от 01.07.2021 № 244-ФЗ) финансовые органы субъектов Российской Федерации (муниципальных образований) наделяются правом с 1 января 2022 года осуществлять казначейское сопровождение в случаях и порядке, установленных Бюджетным кодексом Российской Федерации (далее - БК РФ).</w:t>
      </w:r>
    </w:p>
    <w:p w:rsidR="005C566B" w:rsidRDefault="005C566B" w:rsidP="005C566B">
      <w:pPr>
        <w:pStyle w:val="a6"/>
        <w:spacing w:before="240" w:beforeAutospacing="0" w:after="240" w:afterAutospacing="0"/>
        <w:rPr>
          <w:rFonts w:ascii="Arial" w:hAnsi="Arial" w:cs="Arial"/>
          <w:color w:val="000000"/>
          <w:sz w:val="21"/>
          <w:szCs w:val="21"/>
        </w:rPr>
      </w:pPr>
      <w:r>
        <w:rPr>
          <w:rFonts w:ascii="Arial" w:hAnsi="Arial" w:cs="Arial"/>
          <w:color w:val="000000"/>
          <w:sz w:val="21"/>
          <w:szCs w:val="21"/>
        </w:rPr>
        <w:t>Так, в соответствии с п. 5  статьи 242.23. «Основы казначейского сопровождения»:</w:t>
      </w:r>
    </w:p>
    <w:p w:rsidR="005C566B" w:rsidRDefault="005C566B" w:rsidP="005C566B">
      <w:pPr>
        <w:pStyle w:val="a6"/>
        <w:spacing w:before="0" w:beforeAutospacing="0" w:after="0" w:afterAutospacing="0"/>
        <w:rPr>
          <w:rFonts w:ascii="Arial" w:hAnsi="Arial" w:cs="Arial"/>
          <w:color w:val="000000"/>
          <w:sz w:val="21"/>
          <w:szCs w:val="21"/>
        </w:rPr>
      </w:pPr>
      <w:r>
        <w:rPr>
          <w:rStyle w:val="a9"/>
          <w:rFonts w:ascii="Arial" w:hAnsi="Arial" w:cs="Arial"/>
          <w:color w:val="000000"/>
          <w:sz w:val="21"/>
          <w:szCs w:val="21"/>
        </w:rPr>
        <w:t xml:space="preserve">«5. </w:t>
      </w:r>
      <w:proofErr w:type="gramStart"/>
      <w:r>
        <w:rPr>
          <w:rStyle w:val="a9"/>
          <w:rFonts w:ascii="Arial" w:hAnsi="Arial" w:cs="Arial"/>
          <w:color w:val="000000"/>
          <w:sz w:val="21"/>
          <w:szCs w:val="21"/>
        </w:rPr>
        <w:t>Финансовые органы субъектов Российской Федерации (муниципальных образований) в случаях, установленных законами субъектов Российской Федерации (муниципальными правовыми актами представительных органов местного самоуправления), вправе осуществлять казначейское сопровождение в отношении средств, определенных в соответствии со статьей 242.26 настоящего Кодекса, </w:t>
      </w:r>
      <w:r>
        <w:rPr>
          <w:rStyle w:val="a9"/>
          <w:rFonts w:ascii="Arial" w:hAnsi="Arial" w:cs="Arial"/>
          <w:color w:val="000000"/>
          <w:sz w:val="21"/>
          <w:szCs w:val="21"/>
          <w:u w:val="single"/>
        </w:rPr>
        <w:t>в порядке, установленном высшим исполнительным органом государственной власти субъекта Российской Федерации (местной администрацией) в соответствии с общими требованиями, установленными Правительством Российской Федерации</w:t>
      </w:r>
      <w:r>
        <w:rPr>
          <w:rStyle w:val="a9"/>
          <w:rFonts w:ascii="Arial" w:hAnsi="Arial" w:cs="Arial"/>
          <w:color w:val="000000"/>
          <w:sz w:val="21"/>
          <w:szCs w:val="21"/>
        </w:rPr>
        <w:t>, содержащими в</w:t>
      </w:r>
      <w:proofErr w:type="gramEnd"/>
      <w:r>
        <w:rPr>
          <w:rStyle w:val="a9"/>
          <w:rFonts w:ascii="Arial" w:hAnsi="Arial" w:cs="Arial"/>
          <w:color w:val="000000"/>
          <w:sz w:val="21"/>
          <w:szCs w:val="21"/>
        </w:rPr>
        <w:t xml:space="preserve"> том числе положения, предусмотренные пунктом 3 настоящей статьи, а также требования к порядку санкционирования операций со средствами участников казначейского сопровождения, </w:t>
      </w:r>
      <w:r>
        <w:rPr>
          <w:rStyle w:val="a9"/>
          <w:rFonts w:ascii="Arial" w:hAnsi="Arial" w:cs="Arial"/>
          <w:color w:val="000000"/>
          <w:sz w:val="21"/>
          <w:szCs w:val="21"/>
        </w:rPr>
        <w:lastRenderedPageBreak/>
        <w:t>устанавливаемому финансовым органом субъекта Российской Федерации (муниципального образования)</w:t>
      </w:r>
      <w:proofErr w:type="gramStart"/>
      <w:r>
        <w:rPr>
          <w:rStyle w:val="a9"/>
          <w:rFonts w:ascii="Arial" w:hAnsi="Arial" w:cs="Arial"/>
          <w:color w:val="000000"/>
          <w:sz w:val="21"/>
          <w:szCs w:val="21"/>
        </w:rPr>
        <w:t>.»</w:t>
      </w:r>
      <w:proofErr w:type="gramEnd"/>
      <w:r>
        <w:rPr>
          <w:rStyle w:val="a9"/>
          <w:rFonts w:ascii="Arial" w:hAnsi="Arial" w:cs="Arial"/>
          <w:color w:val="000000"/>
          <w:sz w:val="21"/>
          <w:szCs w:val="21"/>
        </w:rPr>
        <w:t>.</w:t>
      </w:r>
    </w:p>
    <w:p w:rsidR="005C566B" w:rsidRDefault="005C566B" w:rsidP="005C566B">
      <w:pPr>
        <w:pStyle w:val="a6"/>
        <w:spacing w:before="240" w:beforeAutospacing="0" w:after="240" w:afterAutospacing="0"/>
        <w:rPr>
          <w:rFonts w:ascii="Arial" w:hAnsi="Arial" w:cs="Arial"/>
          <w:color w:val="000000"/>
          <w:sz w:val="21"/>
          <w:szCs w:val="21"/>
        </w:rPr>
      </w:pPr>
      <w:r>
        <w:rPr>
          <w:rFonts w:ascii="Arial" w:hAnsi="Arial" w:cs="Arial"/>
          <w:color w:val="000000"/>
          <w:sz w:val="21"/>
          <w:szCs w:val="21"/>
        </w:rPr>
        <w:t>Статья 246.26 БК РФ определяет перечень средств, подлежащих казначейскому сопровождению, источником финансового обеспечения которых являются средства, предоставляемые из бюджета субъекта Российской Федерации (местного бюджета). При этом согласно п. 2. статьи 242.26. БК РФ казначейское сопровождение соответствующих средств,  осуществляется:</w:t>
      </w:r>
    </w:p>
    <w:p w:rsidR="005C566B" w:rsidRDefault="005C566B" w:rsidP="005C566B">
      <w:pPr>
        <w:numPr>
          <w:ilvl w:val="0"/>
          <w:numId w:val="5"/>
        </w:numPr>
        <w:spacing w:after="300"/>
        <w:ind w:left="0"/>
        <w:rPr>
          <w:rFonts w:ascii="Arial" w:hAnsi="Arial" w:cs="Arial"/>
          <w:color w:val="000000"/>
          <w:sz w:val="21"/>
          <w:szCs w:val="21"/>
        </w:rPr>
      </w:pPr>
      <w:r>
        <w:rPr>
          <w:rFonts w:ascii="Arial" w:hAnsi="Arial" w:cs="Arial"/>
          <w:color w:val="000000"/>
          <w:sz w:val="21"/>
          <w:szCs w:val="21"/>
        </w:rPr>
        <w:t>финансовым органом субъекта РФ (муниципального образования);</w:t>
      </w:r>
    </w:p>
    <w:p w:rsidR="005C566B" w:rsidRDefault="005C566B" w:rsidP="005C566B">
      <w:pPr>
        <w:numPr>
          <w:ilvl w:val="0"/>
          <w:numId w:val="5"/>
        </w:numPr>
        <w:spacing w:after="300"/>
        <w:ind w:left="0"/>
        <w:rPr>
          <w:rFonts w:ascii="Arial" w:hAnsi="Arial" w:cs="Arial"/>
          <w:color w:val="000000"/>
          <w:sz w:val="21"/>
          <w:szCs w:val="21"/>
        </w:rPr>
      </w:pPr>
      <w:r>
        <w:rPr>
          <w:rFonts w:ascii="Arial" w:hAnsi="Arial" w:cs="Arial"/>
          <w:color w:val="000000"/>
          <w:sz w:val="21"/>
          <w:szCs w:val="21"/>
        </w:rPr>
        <w:t>или Федеральным казначейством при осуществлении им отдельных функций финансового органа субъекта РФ (муниципального образования) в соответствии со статьей 220.2 БК РФ.</w:t>
      </w:r>
    </w:p>
    <w:p w:rsidR="005C566B" w:rsidRDefault="005C566B" w:rsidP="005C566B">
      <w:pPr>
        <w:pStyle w:val="a6"/>
        <w:spacing w:before="240" w:beforeAutospacing="0" w:after="240" w:afterAutospacing="0"/>
        <w:rPr>
          <w:rFonts w:ascii="Arial" w:hAnsi="Arial" w:cs="Arial"/>
          <w:color w:val="000000"/>
          <w:sz w:val="21"/>
          <w:szCs w:val="21"/>
        </w:rPr>
      </w:pPr>
      <w:r>
        <w:rPr>
          <w:rFonts w:ascii="Arial" w:hAnsi="Arial" w:cs="Arial"/>
          <w:color w:val="000000"/>
          <w:sz w:val="21"/>
          <w:szCs w:val="21"/>
        </w:rPr>
        <w:t xml:space="preserve">Следует отметить, что новая редакция статьи 220.2. «Осуществление Федеральным казначейством отдельных функций финансовых органов субъектов Российской Федерации (муниципальных образований), органов управления государственными внебюджетными фондами» БК РФ (в ред. федерального закона от 01.07.2021 № 244-ФЗ) в перечне отдельных функций финансового органа субъекта РФ (муниципального образования) осуществление которых может быть передано Федеральному казначейству, теперь содержит в </w:t>
      </w:r>
      <w:proofErr w:type="spellStart"/>
      <w:r>
        <w:rPr>
          <w:rFonts w:ascii="Arial" w:hAnsi="Arial" w:cs="Arial"/>
          <w:color w:val="000000"/>
          <w:sz w:val="21"/>
          <w:szCs w:val="21"/>
        </w:rPr>
        <w:t>т.ч</w:t>
      </w:r>
      <w:proofErr w:type="spellEnd"/>
      <w:r>
        <w:rPr>
          <w:rFonts w:ascii="Arial" w:hAnsi="Arial" w:cs="Arial"/>
          <w:color w:val="000000"/>
          <w:sz w:val="21"/>
          <w:szCs w:val="21"/>
        </w:rPr>
        <w:t>. функции, связанные:</w:t>
      </w:r>
    </w:p>
    <w:p w:rsidR="005C566B" w:rsidRDefault="005C566B" w:rsidP="005C566B">
      <w:pPr>
        <w:numPr>
          <w:ilvl w:val="0"/>
          <w:numId w:val="6"/>
        </w:numPr>
        <w:spacing w:after="300"/>
        <w:ind w:left="0"/>
        <w:rPr>
          <w:rFonts w:ascii="Arial" w:hAnsi="Arial" w:cs="Arial"/>
          <w:color w:val="000000"/>
          <w:sz w:val="21"/>
          <w:szCs w:val="21"/>
        </w:rPr>
      </w:pPr>
      <w:r>
        <w:rPr>
          <w:rFonts w:ascii="Arial" w:hAnsi="Arial" w:cs="Arial"/>
          <w:color w:val="000000"/>
          <w:sz w:val="21"/>
          <w:szCs w:val="21"/>
        </w:rPr>
        <w:t>«6.1) с открытием и ведением лицевых счетов, предназначенных для учета операций со средствами получателей средств из бюджета, участников казначейского сопровождения, источником финансового обеспечения которых являются средства бюджета субъекта Российской Федерации (местного бюджета);</w:t>
      </w:r>
    </w:p>
    <w:p w:rsidR="005C566B" w:rsidRDefault="005C566B" w:rsidP="005C566B">
      <w:pPr>
        <w:numPr>
          <w:ilvl w:val="0"/>
          <w:numId w:val="6"/>
        </w:numPr>
        <w:spacing w:after="300"/>
        <w:ind w:left="0"/>
        <w:rPr>
          <w:rFonts w:ascii="Arial" w:hAnsi="Arial" w:cs="Arial"/>
          <w:color w:val="000000"/>
          <w:sz w:val="21"/>
          <w:szCs w:val="21"/>
        </w:rPr>
      </w:pPr>
      <w:r>
        <w:rPr>
          <w:rFonts w:ascii="Arial" w:hAnsi="Arial" w:cs="Arial"/>
          <w:color w:val="000000"/>
          <w:sz w:val="21"/>
          <w:szCs w:val="21"/>
        </w:rPr>
        <w:t>7) с санкционированием операций по расходам получателей средств из бюджета, участников казначейского сопровождения, которым открыты лицевые счета, источником финансового обеспечения которых являются средства бюджета субъекта Российской Федерации (местного бюджета)</w:t>
      </w:r>
      <w:proofErr w:type="gramStart"/>
      <w:r>
        <w:rPr>
          <w:rFonts w:ascii="Arial" w:hAnsi="Arial" w:cs="Arial"/>
          <w:color w:val="000000"/>
          <w:sz w:val="21"/>
          <w:szCs w:val="21"/>
        </w:rPr>
        <w:t>;»</w:t>
      </w:r>
      <w:proofErr w:type="gramEnd"/>
      <w:r>
        <w:rPr>
          <w:rFonts w:ascii="Arial" w:hAnsi="Arial" w:cs="Arial"/>
          <w:color w:val="000000"/>
          <w:sz w:val="21"/>
          <w:szCs w:val="21"/>
        </w:rPr>
        <w:t>.</w:t>
      </w:r>
    </w:p>
    <w:p w:rsidR="005C566B" w:rsidRDefault="005C566B" w:rsidP="005C566B">
      <w:pPr>
        <w:pStyle w:val="a6"/>
        <w:spacing w:before="240" w:beforeAutospacing="0" w:after="240" w:afterAutospacing="0"/>
        <w:rPr>
          <w:rFonts w:ascii="Arial" w:hAnsi="Arial" w:cs="Arial"/>
          <w:color w:val="000000"/>
          <w:sz w:val="21"/>
          <w:szCs w:val="21"/>
        </w:rPr>
      </w:pPr>
      <w:r>
        <w:rPr>
          <w:rFonts w:ascii="Arial" w:hAnsi="Arial" w:cs="Arial"/>
          <w:color w:val="000000"/>
          <w:sz w:val="21"/>
          <w:szCs w:val="21"/>
        </w:rPr>
        <w:t>При этом передача вышеуказанных функций Федеральному казначейству также осуществляется на основании обращения высшего исполнительного органа государственной власти субъекта Российской Федерации (местной администрации).</w:t>
      </w:r>
    </w:p>
    <w:p w:rsidR="005C566B" w:rsidRDefault="005C566B" w:rsidP="005C566B">
      <w:pPr>
        <w:pStyle w:val="a6"/>
        <w:spacing w:before="0" w:beforeAutospacing="0" w:after="0" w:afterAutospacing="0"/>
        <w:rPr>
          <w:rFonts w:ascii="Arial" w:hAnsi="Arial" w:cs="Arial"/>
          <w:color w:val="000000"/>
          <w:sz w:val="21"/>
          <w:szCs w:val="21"/>
        </w:rPr>
      </w:pPr>
      <w:r>
        <w:rPr>
          <w:rStyle w:val="a8"/>
          <w:rFonts w:ascii="Arial" w:hAnsi="Arial" w:cs="Arial"/>
          <w:color w:val="000000"/>
          <w:sz w:val="21"/>
          <w:szCs w:val="21"/>
        </w:rPr>
        <w:t xml:space="preserve">С учетом </w:t>
      </w:r>
      <w:proofErr w:type="gramStart"/>
      <w:r>
        <w:rPr>
          <w:rStyle w:val="a8"/>
          <w:rFonts w:ascii="Arial" w:hAnsi="Arial" w:cs="Arial"/>
          <w:color w:val="000000"/>
          <w:sz w:val="21"/>
          <w:szCs w:val="21"/>
        </w:rPr>
        <w:t>изложенного</w:t>
      </w:r>
      <w:proofErr w:type="gramEnd"/>
      <w:r>
        <w:rPr>
          <w:rStyle w:val="a8"/>
          <w:rFonts w:ascii="Arial" w:hAnsi="Arial" w:cs="Arial"/>
          <w:color w:val="000000"/>
          <w:sz w:val="21"/>
          <w:szCs w:val="21"/>
        </w:rPr>
        <w:t>, можно утвердительно ответить на заданный вопрос - если соответствующие функции переданы Федеральному казначейству, то казначейское сопровождение в случаях, установленных муниципальным актом о бюджете, будет осуществляться Федеральным казначейством.</w:t>
      </w:r>
    </w:p>
    <w:p w:rsidR="005C566B" w:rsidRDefault="005C566B" w:rsidP="005C566B">
      <w:pPr>
        <w:pStyle w:val="a6"/>
        <w:spacing w:before="0" w:beforeAutospacing="0" w:after="0" w:afterAutospacing="0"/>
        <w:rPr>
          <w:rFonts w:ascii="Arial" w:hAnsi="Arial" w:cs="Arial"/>
          <w:color w:val="000000"/>
          <w:sz w:val="21"/>
          <w:szCs w:val="21"/>
        </w:rPr>
      </w:pPr>
      <w:r>
        <w:rPr>
          <w:rFonts w:ascii="Arial" w:hAnsi="Arial" w:cs="Arial"/>
          <w:color w:val="000000"/>
          <w:sz w:val="21"/>
          <w:szCs w:val="21"/>
        </w:rPr>
        <w:t>Косвенным подтверждением данного вывода является отражение соответствующей информации в </w:t>
      </w:r>
      <w:hyperlink r:id="rId9" w:history="1">
        <w:r>
          <w:rPr>
            <w:rStyle w:val="a7"/>
            <w:rFonts w:ascii="Arial" w:hAnsi="Arial" w:cs="Arial"/>
            <w:color w:val="DC0413"/>
            <w:sz w:val="21"/>
            <w:szCs w:val="21"/>
          </w:rPr>
          <w:t xml:space="preserve">презентационных материалах </w:t>
        </w:r>
        <w:proofErr w:type="spellStart"/>
        <w:r>
          <w:rPr>
            <w:rStyle w:val="a7"/>
            <w:rFonts w:ascii="Arial" w:hAnsi="Arial" w:cs="Arial"/>
            <w:color w:val="DC0413"/>
            <w:sz w:val="21"/>
            <w:szCs w:val="21"/>
          </w:rPr>
          <w:t>Т.В.Саакян</w:t>
        </w:r>
        <w:proofErr w:type="spellEnd"/>
        <w:r>
          <w:rPr>
            <w:rStyle w:val="a7"/>
            <w:rFonts w:ascii="Arial" w:hAnsi="Arial" w:cs="Arial"/>
            <w:color w:val="DC0413"/>
            <w:sz w:val="21"/>
            <w:szCs w:val="21"/>
          </w:rPr>
          <w:t xml:space="preserve"> на тему «Новые полномочия финансовых органов по казначейскому сопровождению средств, предоставляемых из региональных и местных бюджетов»</w:t>
        </w:r>
      </w:hyperlink>
      <w:r>
        <w:rPr>
          <w:rFonts w:ascii="Arial" w:hAnsi="Arial" w:cs="Arial"/>
          <w:color w:val="000000"/>
          <w:sz w:val="21"/>
          <w:szCs w:val="21"/>
        </w:rPr>
        <w:t>, представленных в ходе Всероссийского семинара-совещания  с руководителями финансовых органов субъектов Российской Федерации. Так, слайд 5 указанной презентации содержит указание на то, что:</w:t>
      </w:r>
    </w:p>
    <w:p w:rsidR="005C566B" w:rsidRDefault="005C566B" w:rsidP="005C566B">
      <w:pPr>
        <w:pStyle w:val="a6"/>
        <w:spacing w:before="240" w:beforeAutospacing="0" w:after="240" w:afterAutospacing="0"/>
        <w:rPr>
          <w:rFonts w:ascii="Arial" w:hAnsi="Arial" w:cs="Arial"/>
          <w:color w:val="000000"/>
          <w:sz w:val="21"/>
          <w:szCs w:val="21"/>
        </w:rPr>
      </w:pPr>
      <w:r>
        <w:rPr>
          <w:rFonts w:ascii="Arial" w:hAnsi="Arial" w:cs="Arial"/>
          <w:color w:val="000000"/>
          <w:sz w:val="21"/>
          <w:szCs w:val="21"/>
        </w:rPr>
        <w:t>«Казначейское сопровождение средств, определенных в соответствии с пунктом 1 статьи 242.26. Бюджетного кодекса, осуществляется Федеральным казначейством в случаях:</w:t>
      </w:r>
    </w:p>
    <w:p w:rsidR="005C566B" w:rsidRDefault="005C566B" w:rsidP="005C566B">
      <w:pPr>
        <w:numPr>
          <w:ilvl w:val="0"/>
          <w:numId w:val="7"/>
        </w:numPr>
        <w:spacing w:after="300"/>
        <w:ind w:left="0"/>
        <w:rPr>
          <w:rFonts w:ascii="Arial" w:hAnsi="Arial" w:cs="Arial"/>
          <w:color w:val="000000"/>
          <w:sz w:val="21"/>
          <w:szCs w:val="21"/>
        </w:rPr>
      </w:pPr>
      <w:r>
        <w:rPr>
          <w:rFonts w:ascii="Arial" w:hAnsi="Arial" w:cs="Arial"/>
          <w:color w:val="000000"/>
          <w:sz w:val="21"/>
          <w:szCs w:val="21"/>
        </w:rPr>
        <w:t>передачи ТОФК отдельных функций финансового органа субъекта Российской Федерации (муниципального образования) в соответствии со статьей 220.2. Бюджетного кодекса;</w:t>
      </w:r>
    </w:p>
    <w:p w:rsidR="005C566B" w:rsidRDefault="005C566B" w:rsidP="005C566B">
      <w:pPr>
        <w:numPr>
          <w:ilvl w:val="0"/>
          <w:numId w:val="7"/>
        </w:numPr>
        <w:spacing w:after="300"/>
        <w:ind w:left="0"/>
        <w:rPr>
          <w:rFonts w:ascii="Arial" w:hAnsi="Arial" w:cs="Arial"/>
          <w:color w:val="000000"/>
          <w:sz w:val="21"/>
          <w:szCs w:val="21"/>
        </w:rPr>
      </w:pPr>
      <w:r>
        <w:rPr>
          <w:rFonts w:ascii="Arial" w:hAnsi="Arial" w:cs="Arial"/>
          <w:color w:val="000000"/>
          <w:sz w:val="21"/>
          <w:szCs w:val="21"/>
        </w:rPr>
        <w:t xml:space="preserve">установления такого условия при предоставлении </w:t>
      </w:r>
      <w:proofErr w:type="gramStart"/>
      <w:r>
        <w:rPr>
          <w:rFonts w:ascii="Arial" w:hAnsi="Arial" w:cs="Arial"/>
          <w:color w:val="000000"/>
          <w:sz w:val="21"/>
          <w:szCs w:val="21"/>
        </w:rPr>
        <w:t>целевых</w:t>
      </w:r>
      <w:proofErr w:type="gramEnd"/>
      <w:r>
        <w:rPr>
          <w:rFonts w:ascii="Arial" w:hAnsi="Arial" w:cs="Arial"/>
          <w:color w:val="000000"/>
          <w:sz w:val="21"/>
          <w:szCs w:val="21"/>
        </w:rPr>
        <w:t xml:space="preserve"> МБТ из федерального бюджета.».</w:t>
      </w:r>
    </w:p>
    <w:p w:rsidR="005C566B" w:rsidRDefault="005C566B" w:rsidP="005C566B">
      <w:pPr>
        <w:pStyle w:val="a6"/>
        <w:spacing w:before="0" w:beforeAutospacing="0" w:after="0" w:afterAutospacing="0"/>
        <w:rPr>
          <w:rFonts w:ascii="Arial" w:hAnsi="Arial" w:cs="Arial"/>
          <w:color w:val="000000"/>
          <w:sz w:val="21"/>
          <w:szCs w:val="21"/>
        </w:rPr>
      </w:pPr>
      <w:r>
        <w:rPr>
          <w:rStyle w:val="a8"/>
          <w:rFonts w:ascii="Arial" w:hAnsi="Arial" w:cs="Arial"/>
          <w:color w:val="000000"/>
          <w:sz w:val="21"/>
          <w:szCs w:val="21"/>
        </w:rPr>
        <w:t>Вместе с тем, на наш взгляд, следует учитывать следующее.</w:t>
      </w:r>
    </w:p>
    <w:p w:rsidR="005C566B" w:rsidRDefault="005C566B" w:rsidP="005C566B">
      <w:pPr>
        <w:pStyle w:val="a6"/>
        <w:spacing w:before="240" w:beforeAutospacing="0" w:after="240" w:afterAutospacing="0"/>
        <w:rPr>
          <w:rFonts w:ascii="Arial" w:hAnsi="Arial" w:cs="Arial"/>
          <w:color w:val="000000"/>
          <w:sz w:val="21"/>
          <w:szCs w:val="21"/>
        </w:rPr>
      </w:pPr>
      <w:r>
        <w:rPr>
          <w:rFonts w:ascii="Arial" w:hAnsi="Arial" w:cs="Arial"/>
          <w:color w:val="000000"/>
          <w:sz w:val="21"/>
          <w:szCs w:val="21"/>
        </w:rPr>
        <w:lastRenderedPageBreak/>
        <w:t>В соответствии с новой редакцией БК РФ в целях реализации новых норм в части казначейского сопровождения должны быть разработаны и утверждены на уровне Правительства Российской Федерации:</w:t>
      </w:r>
    </w:p>
    <w:p w:rsidR="005C566B" w:rsidRDefault="005C566B" w:rsidP="005C566B">
      <w:pPr>
        <w:numPr>
          <w:ilvl w:val="0"/>
          <w:numId w:val="8"/>
        </w:numPr>
        <w:spacing w:after="300"/>
        <w:ind w:left="0"/>
        <w:rPr>
          <w:rFonts w:ascii="Arial" w:hAnsi="Arial" w:cs="Arial"/>
          <w:color w:val="000000"/>
          <w:sz w:val="21"/>
          <w:szCs w:val="21"/>
        </w:rPr>
      </w:pPr>
      <w:r>
        <w:rPr>
          <w:rFonts w:ascii="Arial" w:hAnsi="Arial" w:cs="Arial"/>
          <w:color w:val="000000"/>
          <w:sz w:val="21"/>
          <w:szCs w:val="21"/>
        </w:rPr>
        <w:t>порядок осуществления Федеральным казначейством казначейского сопровождения;</w:t>
      </w:r>
    </w:p>
    <w:p w:rsidR="005C566B" w:rsidRDefault="005C566B" w:rsidP="005C566B">
      <w:pPr>
        <w:numPr>
          <w:ilvl w:val="0"/>
          <w:numId w:val="8"/>
        </w:numPr>
        <w:spacing w:after="300"/>
        <w:ind w:left="0"/>
        <w:rPr>
          <w:rFonts w:ascii="Arial" w:hAnsi="Arial" w:cs="Arial"/>
          <w:color w:val="000000"/>
          <w:sz w:val="21"/>
          <w:szCs w:val="21"/>
        </w:rPr>
      </w:pPr>
      <w:r>
        <w:rPr>
          <w:rFonts w:ascii="Arial" w:hAnsi="Arial" w:cs="Arial"/>
          <w:color w:val="000000"/>
          <w:sz w:val="21"/>
          <w:szCs w:val="21"/>
        </w:rPr>
        <w:t>общие требования к порядку осуществления финансовыми органами субъектов Российской Федерации (муниципальных образований) казначейского сопровождения в отношении средств, определенных в соответствии со статьей 242.26 БК РФ, в случаях, установленных законами субъектов Российской Федерации (муниципальными правовыми актами представительных органов местного самоуправления);</w:t>
      </w:r>
    </w:p>
    <w:p w:rsidR="005C566B" w:rsidRDefault="005C566B" w:rsidP="005C566B">
      <w:pPr>
        <w:numPr>
          <w:ilvl w:val="0"/>
          <w:numId w:val="8"/>
        </w:numPr>
        <w:spacing w:after="300"/>
        <w:ind w:left="0"/>
        <w:rPr>
          <w:rFonts w:ascii="Arial" w:hAnsi="Arial" w:cs="Arial"/>
          <w:color w:val="000000"/>
          <w:sz w:val="21"/>
          <w:szCs w:val="21"/>
        </w:rPr>
      </w:pPr>
      <w:r>
        <w:rPr>
          <w:rFonts w:ascii="Arial" w:hAnsi="Arial" w:cs="Arial"/>
          <w:color w:val="000000"/>
          <w:sz w:val="21"/>
          <w:szCs w:val="21"/>
        </w:rPr>
        <w:t>случаи и порядок осуществления расширенного казначейского сопровождение средств, указанных в статье 242.26 БК РФ, финансовыми органами субъектов Российской Федерации (муниципальных образований).</w:t>
      </w:r>
    </w:p>
    <w:p w:rsidR="005C566B" w:rsidRDefault="005C566B" w:rsidP="005C566B">
      <w:pPr>
        <w:pStyle w:val="a6"/>
        <w:spacing w:before="240" w:beforeAutospacing="0" w:after="240" w:afterAutospacing="0"/>
        <w:rPr>
          <w:rFonts w:ascii="Arial" w:hAnsi="Arial" w:cs="Arial"/>
          <w:color w:val="000000"/>
          <w:sz w:val="21"/>
          <w:szCs w:val="21"/>
        </w:rPr>
      </w:pPr>
      <w:r>
        <w:rPr>
          <w:rFonts w:ascii="Arial" w:hAnsi="Arial" w:cs="Arial"/>
          <w:color w:val="000000"/>
          <w:sz w:val="21"/>
          <w:szCs w:val="21"/>
        </w:rPr>
        <w:t>Однако в настоящее время указанные акты не утверждены, в связи с чем, отсутствует возможность оценить наличие и специфику особенностей передачи и исполнения Федеральным казначейством соответствующих функций.</w:t>
      </w:r>
    </w:p>
    <w:p w:rsidR="005C566B" w:rsidRDefault="005C566B" w:rsidP="005C566B">
      <w:pPr>
        <w:pStyle w:val="a6"/>
        <w:spacing w:before="240" w:beforeAutospacing="0" w:after="240" w:afterAutospacing="0"/>
        <w:rPr>
          <w:rFonts w:ascii="Arial" w:hAnsi="Arial" w:cs="Arial"/>
          <w:color w:val="000000"/>
          <w:sz w:val="21"/>
          <w:szCs w:val="21"/>
        </w:rPr>
      </w:pPr>
      <w:r>
        <w:rPr>
          <w:rFonts w:ascii="Arial" w:hAnsi="Arial" w:cs="Arial"/>
          <w:color w:val="000000"/>
          <w:sz w:val="21"/>
          <w:szCs w:val="21"/>
        </w:rPr>
        <w:t>Кроме того, федеральным законом от 01.07.2021 № 244-ФЗ внесены изменения в п.4 статьи 220.2.БК РФ в части норм, регулирующих порядок направления обращений о передаче функций финансовых органов субъектов РФ (муниципальных образований). В частности, расширен перечень положений, которые должны быть определены Минфином России, при установлении порядка направления обращений.</w:t>
      </w:r>
    </w:p>
    <w:p w:rsidR="005C566B" w:rsidRDefault="005C566B" w:rsidP="005C566B">
      <w:pPr>
        <w:pStyle w:val="a6"/>
        <w:spacing w:before="240" w:beforeAutospacing="0" w:after="240" w:afterAutospacing="0"/>
        <w:rPr>
          <w:rFonts w:ascii="Arial" w:hAnsi="Arial" w:cs="Arial"/>
          <w:color w:val="000000"/>
          <w:sz w:val="21"/>
          <w:szCs w:val="21"/>
        </w:rPr>
      </w:pPr>
      <w:r>
        <w:rPr>
          <w:rFonts w:ascii="Arial" w:hAnsi="Arial" w:cs="Arial"/>
          <w:color w:val="000000"/>
          <w:sz w:val="21"/>
          <w:szCs w:val="21"/>
        </w:rPr>
        <w:t>Ниже приведено сравнение соответствующих норм БК РФ:</w:t>
      </w:r>
    </w:p>
    <w:tbl>
      <w:tblPr>
        <w:tblW w:w="5000" w:type="pct"/>
        <w:tblCellMar>
          <w:top w:w="15" w:type="dxa"/>
          <w:left w:w="15" w:type="dxa"/>
          <w:bottom w:w="15" w:type="dxa"/>
          <w:right w:w="15" w:type="dxa"/>
        </w:tblCellMar>
        <w:tblLook w:val="04A0" w:firstRow="1" w:lastRow="0" w:firstColumn="1" w:lastColumn="0" w:noHBand="0" w:noVBand="1"/>
      </w:tblPr>
      <w:tblGrid>
        <w:gridCol w:w="4567"/>
        <w:gridCol w:w="5088"/>
      </w:tblGrid>
      <w:tr w:rsidR="005C566B" w:rsidTr="005C566B">
        <w:trPr>
          <w:trHeight w:val="450"/>
          <w:tblHeader/>
        </w:trPr>
        <w:tc>
          <w:tcPr>
            <w:tcW w:w="7935" w:type="dxa"/>
            <w:tcBorders>
              <w:top w:val="single" w:sz="12" w:space="0" w:color="FFFFFF"/>
              <w:left w:val="single" w:sz="12" w:space="0" w:color="FFFFFF"/>
              <w:bottom w:val="single" w:sz="12" w:space="0" w:color="FFFFFF"/>
              <w:right w:val="single" w:sz="12" w:space="0" w:color="FFFFFF"/>
            </w:tcBorders>
            <w:shd w:val="clear" w:color="auto" w:fill="DB1F26"/>
            <w:tcMar>
              <w:top w:w="225" w:type="dxa"/>
              <w:left w:w="150" w:type="dxa"/>
              <w:bottom w:w="225" w:type="dxa"/>
              <w:right w:w="150" w:type="dxa"/>
            </w:tcMar>
            <w:vAlign w:val="center"/>
            <w:hideMark/>
          </w:tcPr>
          <w:p w:rsidR="005C566B" w:rsidRDefault="005C566B">
            <w:pPr>
              <w:pStyle w:val="a6"/>
              <w:spacing w:before="0" w:beforeAutospacing="0" w:after="0" w:afterAutospacing="0"/>
              <w:jc w:val="center"/>
              <w:rPr>
                <w:b/>
                <w:bCs/>
                <w:color w:val="FFFFFF"/>
              </w:rPr>
            </w:pPr>
            <w:r>
              <w:rPr>
                <w:rStyle w:val="a8"/>
                <w:color w:val="FFFFFF"/>
              </w:rPr>
              <w:t>Действующая редакция БК РФ (п.4 ст. 220.2)</w:t>
            </w:r>
          </w:p>
        </w:tc>
        <w:tc>
          <w:tcPr>
            <w:tcW w:w="7935" w:type="dxa"/>
            <w:tcBorders>
              <w:top w:val="single" w:sz="12" w:space="0" w:color="FFFFFF"/>
              <w:left w:val="single" w:sz="12" w:space="0" w:color="FFFFFF"/>
              <w:bottom w:val="single" w:sz="12" w:space="0" w:color="FFFFFF"/>
              <w:right w:val="single" w:sz="12" w:space="0" w:color="FFFFFF"/>
            </w:tcBorders>
            <w:shd w:val="clear" w:color="auto" w:fill="DB1F26"/>
            <w:tcMar>
              <w:top w:w="225" w:type="dxa"/>
              <w:left w:w="150" w:type="dxa"/>
              <w:bottom w:w="225" w:type="dxa"/>
              <w:right w:w="150" w:type="dxa"/>
            </w:tcMar>
            <w:vAlign w:val="center"/>
            <w:hideMark/>
          </w:tcPr>
          <w:p w:rsidR="005C566B" w:rsidRDefault="005C566B">
            <w:pPr>
              <w:pStyle w:val="a6"/>
              <w:spacing w:before="0" w:beforeAutospacing="0" w:after="0" w:afterAutospacing="0"/>
              <w:jc w:val="center"/>
              <w:rPr>
                <w:b/>
                <w:bCs/>
                <w:color w:val="FFFFFF"/>
              </w:rPr>
            </w:pPr>
            <w:r>
              <w:rPr>
                <w:rStyle w:val="a8"/>
                <w:color w:val="FFFFFF"/>
              </w:rPr>
              <w:t>Редакция с 01.01.2022 г. (п.4 ст. 220.2)</w:t>
            </w:r>
          </w:p>
        </w:tc>
      </w:tr>
      <w:tr w:rsidR="005C566B" w:rsidTr="005C566B">
        <w:tc>
          <w:tcPr>
            <w:tcW w:w="4680" w:type="dxa"/>
            <w:tcBorders>
              <w:top w:val="single" w:sz="12" w:space="0" w:color="FFFFFF"/>
              <w:left w:val="single" w:sz="12" w:space="0" w:color="FFFFFF"/>
              <w:bottom w:val="single" w:sz="12" w:space="0" w:color="FFFFFF"/>
              <w:right w:val="single" w:sz="12" w:space="0" w:color="FFFFFF"/>
            </w:tcBorders>
            <w:tcMar>
              <w:top w:w="225" w:type="dxa"/>
              <w:left w:w="150" w:type="dxa"/>
              <w:bottom w:w="225" w:type="dxa"/>
              <w:right w:w="150" w:type="dxa"/>
            </w:tcMar>
            <w:hideMark/>
          </w:tcPr>
          <w:p w:rsidR="005C566B" w:rsidRDefault="005C566B">
            <w:pPr>
              <w:pStyle w:val="a6"/>
              <w:spacing w:before="0" w:beforeAutospacing="0" w:after="0" w:afterAutospacing="0"/>
            </w:pPr>
            <w:r>
              <w:t xml:space="preserve">4. Порядок </w:t>
            </w:r>
            <w:proofErr w:type="gramStart"/>
            <w:r>
              <w:t>направления обращений высших исполнительных органов государственной власти субъектов Российской</w:t>
            </w:r>
            <w:proofErr w:type="gramEnd"/>
            <w:r>
              <w:t xml:space="preserve"> Федерации (местных администраций), органов управления государственными внебюджетными фондами в Федеральное казначейство и рассмотрения Федеральным казначейством обращений, предусмотренных настоящей статьей, устанавливает Министерство финансов Российской Федерации.</w:t>
            </w:r>
          </w:p>
        </w:tc>
        <w:tc>
          <w:tcPr>
            <w:tcW w:w="4785" w:type="dxa"/>
            <w:tcBorders>
              <w:top w:val="single" w:sz="12" w:space="0" w:color="FFFFFF"/>
              <w:left w:val="single" w:sz="12" w:space="0" w:color="FFFFFF"/>
              <w:bottom w:val="single" w:sz="12" w:space="0" w:color="FFFFFF"/>
              <w:right w:val="single" w:sz="12" w:space="0" w:color="FFFFFF"/>
            </w:tcBorders>
            <w:tcMar>
              <w:top w:w="225" w:type="dxa"/>
              <w:left w:w="150" w:type="dxa"/>
              <w:bottom w:w="225" w:type="dxa"/>
              <w:right w:w="150" w:type="dxa"/>
            </w:tcMar>
            <w:vAlign w:val="center"/>
            <w:hideMark/>
          </w:tcPr>
          <w:p w:rsidR="005C566B" w:rsidRDefault="005C566B">
            <w:pPr>
              <w:pStyle w:val="a6"/>
              <w:spacing w:before="0" w:beforeAutospacing="0" w:after="0" w:afterAutospacing="0"/>
            </w:pPr>
            <w:r>
              <w:t xml:space="preserve">4. </w:t>
            </w:r>
            <w:proofErr w:type="gramStart"/>
            <w:r>
              <w:t>Порядок направления обращений высших исполнительных органов государственной власти субъектов Российской Федерации (местных администраций), органов управления государственными внебюджетными фондами в Федеральное казначейство, </w:t>
            </w:r>
            <w:r>
              <w:rPr>
                <w:rStyle w:val="a8"/>
              </w:rPr>
              <w:t>особенности передачи функций финансовых органов субъектов Российской Федерации (муниципальных образований), </w:t>
            </w:r>
            <w:r>
              <w:t>органов управления государственными внебюджетными фондами, </w:t>
            </w:r>
            <w:r>
              <w:rPr>
                <w:rStyle w:val="a8"/>
              </w:rPr>
              <w:t>связанных с исполнением соответствующего бюджета, и порядок</w:t>
            </w:r>
            <w:r>
              <w:t> рассмотрения Федеральным казначейством обращений, предусмотренных настоящей статьей, устанавливает Министерство финансов Российской Федерации.</w:t>
            </w:r>
            <w:proofErr w:type="gramEnd"/>
          </w:p>
        </w:tc>
      </w:tr>
    </w:tbl>
    <w:p w:rsidR="005C566B" w:rsidRDefault="005C566B" w:rsidP="005C566B">
      <w:pPr>
        <w:pStyle w:val="a6"/>
        <w:spacing w:before="0" w:beforeAutospacing="0" w:after="0" w:afterAutospacing="0"/>
        <w:rPr>
          <w:rFonts w:ascii="Arial" w:hAnsi="Arial" w:cs="Arial"/>
          <w:color w:val="000000"/>
          <w:sz w:val="21"/>
          <w:szCs w:val="21"/>
        </w:rPr>
      </w:pPr>
      <w:r>
        <w:rPr>
          <w:rFonts w:ascii="Arial" w:hAnsi="Arial" w:cs="Arial"/>
          <w:color w:val="000000"/>
          <w:sz w:val="21"/>
          <w:szCs w:val="21"/>
        </w:rPr>
        <w:t>Анализ новой редакции вышеуказанной нормы БК РФ свидетельствует о том, что на федеральном уровне может планироваться дополнительная регламентация </w:t>
      </w:r>
      <w:proofErr w:type="gramStart"/>
      <w:r>
        <w:rPr>
          <w:rStyle w:val="a9"/>
          <w:rFonts w:ascii="Arial" w:hAnsi="Arial" w:cs="Arial"/>
          <w:color w:val="000000"/>
          <w:sz w:val="21"/>
          <w:szCs w:val="21"/>
        </w:rPr>
        <w:t>особенностей передачи функций</w:t>
      </w:r>
      <w:r>
        <w:rPr>
          <w:rFonts w:ascii="Arial" w:hAnsi="Arial" w:cs="Arial"/>
          <w:color w:val="000000"/>
          <w:sz w:val="21"/>
          <w:szCs w:val="21"/>
        </w:rPr>
        <w:t> </w:t>
      </w:r>
      <w:r>
        <w:rPr>
          <w:rStyle w:val="a9"/>
          <w:rFonts w:ascii="Arial" w:hAnsi="Arial" w:cs="Arial"/>
          <w:color w:val="000000"/>
          <w:sz w:val="21"/>
          <w:szCs w:val="21"/>
        </w:rPr>
        <w:t>финансовых органов</w:t>
      </w:r>
      <w:r>
        <w:rPr>
          <w:rFonts w:ascii="Arial" w:hAnsi="Arial" w:cs="Arial"/>
          <w:color w:val="000000"/>
          <w:sz w:val="21"/>
          <w:szCs w:val="21"/>
        </w:rPr>
        <w:t> </w:t>
      </w:r>
      <w:r>
        <w:rPr>
          <w:rStyle w:val="a9"/>
          <w:rFonts w:ascii="Arial" w:hAnsi="Arial" w:cs="Arial"/>
          <w:color w:val="000000"/>
          <w:sz w:val="21"/>
          <w:szCs w:val="21"/>
        </w:rPr>
        <w:t>субъектов Российской</w:t>
      </w:r>
      <w:proofErr w:type="gramEnd"/>
      <w:r>
        <w:rPr>
          <w:rStyle w:val="a9"/>
          <w:rFonts w:ascii="Arial" w:hAnsi="Arial" w:cs="Arial"/>
          <w:color w:val="000000"/>
          <w:sz w:val="21"/>
          <w:szCs w:val="21"/>
        </w:rPr>
        <w:t xml:space="preserve"> Федерации</w:t>
      </w:r>
      <w:r>
        <w:rPr>
          <w:rFonts w:ascii="Arial" w:hAnsi="Arial" w:cs="Arial"/>
          <w:color w:val="000000"/>
          <w:sz w:val="21"/>
          <w:szCs w:val="21"/>
        </w:rPr>
        <w:t> </w:t>
      </w:r>
      <w:r>
        <w:rPr>
          <w:rStyle w:val="a9"/>
          <w:rFonts w:ascii="Arial" w:hAnsi="Arial" w:cs="Arial"/>
          <w:color w:val="000000"/>
          <w:sz w:val="21"/>
          <w:szCs w:val="21"/>
        </w:rPr>
        <w:t>(муниципальных образований).</w:t>
      </w:r>
      <w:r>
        <w:rPr>
          <w:rFonts w:ascii="Arial" w:hAnsi="Arial" w:cs="Arial"/>
          <w:color w:val="000000"/>
          <w:sz w:val="21"/>
          <w:szCs w:val="21"/>
        </w:rPr>
        <w:t> </w:t>
      </w:r>
      <w:proofErr w:type="gramStart"/>
      <w:r>
        <w:rPr>
          <w:rFonts w:ascii="Arial" w:hAnsi="Arial" w:cs="Arial"/>
          <w:color w:val="000000"/>
          <w:sz w:val="21"/>
          <w:szCs w:val="21"/>
        </w:rPr>
        <w:t xml:space="preserve">В этих целях до конца текущего года возможно внесение изменений и </w:t>
      </w:r>
      <w:r>
        <w:rPr>
          <w:rFonts w:ascii="Arial" w:hAnsi="Arial" w:cs="Arial"/>
          <w:color w:val="000000"/>
          <w:sz w:val="21"/>
          <w:szCs w:val="21"/>
        </w:rPr>
        <w:lastRenderedPageBreak/>
        <w:t>дополнений в приказ Минфина России от 31.03.2020 № 50н «Об утверждении Порядка направления обращений высших исполнительных органов государственной власти субъектов Российской Федерации (местных администраций), органов управления государственными внебюджетными фондами о передаче (прекращении осуществления) отдельных функций финансовых органов субъектов Российской Федерации (муниципальных образований), органов управления государственными внебюджетными фондами в Федеральное казначейство</w:t>
      </w:r>
      <w:proofErr w:type="gramEnd"/>
      <w:r>
        <w:rPr>
          <w:rFonts w:ascii="Arial" w:hAnsi="Arial" w:cs="Arial"/>
          <w:color w:val="000000"/>
          <w:sz w:val="21"/>
          <w:szCs w:val="21"/>
        </w:rPr>
        <w:t xml:space="preserve"> и их рассмотрения Федеральным казначейством».</w:t>
      </w:r>
    </w:p>
    <w:p w:rsidR="005C566B" w:rsidRDefault="005C566B" w:rsidP="005C566B">
      <w:pPr>
        <w:pStyle w:val="a6"/>
        <w:spacing w:before="240" w:beforeAutospacing="0" w:after="240" w:afterAutospacing="0"/>
        <w:rPr>
          <w:rFonts w:ascii="Arial" w:hAnsi="Arial" w:cs="Arial"/>
          <w:color w:val="000000"/>
          <w:sz w:val="21"/>
          <w:szCs w:val="21"/>
        </w:rPr>
      </w:pPr>
      <w:r>
        <w:rPr>
          <w:rFonts w:ascii="Arial" w:hAnsi="Arial" w:cs="Arial"/>
          <w:color w:val="000000"/>
          <w:sz w:val="21"/>
          <w:szCs w:val="21"/>
        </w:rPr>
        <w:t>С учетом изложенного, рекомендуем по мере утверждения и публикации полного пакета документов, предусмотренных БК РФ (см. выше), провести дополнительный анализ норм законодательства в целях выявления особенностей их реализации (при наличии).</w:t>
      </w:r>
    </w:p>
    <w:p w:rsidR="005C566B" w:rsidRDefault="005C566B" w:rsidP="005C566B">
      <w:pPr>
        <w:pStyle w:val="a6"/>
        <w:spacing w:before="240" w:beforeAutospacing="0" w:after="240" w:afterAutospacing="0"/>
        <w:rPr>
          <w:rFonts w:ascii="Arial" w:hAnsi="Arial" w:cs="Arial"/>
          <w:color w:val="000000"/>
          <w:sz w:val="21"/>
          <w:szCs w:val="21"/>
        </w:rPr>
      </w:pPr>
      <w:r>
        <w:rPr>
          <w:rFonts w:ascii="Arial" w:hAnsi="Arial" w:cs="Arial"/>
          <w:color w:val="000000"/>
          <w:sz w:val="21"/>
          <w:szCs w:val="21"/>
        </w:rPr>
        <w:t> </w:t>
      </w:r>
    </w:p>
    <w:p w:rsidR="005C566B" w:rsidRDefault="005C566B" w:rsidP="005C566B">
      <w:pPr>
        <w:pStyle w:val="a6"/>
        <w:spacing w:before="240" w:beforeAutospacing="0" w:after="240" w:afterAutospacing="0"/>
        <w:rPr>
          <w:rFonts w:ascii="Arial" w:hAnsi="Arial" w:cs="Arial"/>
          <w:color w:val="000000"/>
          <w:sz w:val="21"/>
          <w:szCs w:val="21"/>
        </w:rPr>
      </w:pPr>
      <w:r>
        <w:rPr>
          <w:rFonts w:ascii="Arial" w:hAnsi="Arial" w:cs="Arial"/>
          <w:color w:val="000000"/>
          <w:sz w:val="21"/>
          <w:szCs w:val="21"/>
        </w:rPr>
        <w:t>Ответ подготовила:</w:t>
      </w:r>
    </w:p>
    <w:p w:rsidR="005C566B" w:rsidRDefault="005C566B" w:rsidP="005C566B">
      <w:pPr>
        <w:pStyle w:val="a6"/>
        <w:spacing w:before="240" w:beforeAutospacing="0" w:after="240" w:afterAutospacing="0"/>
        <w:rPr>
          <w:rFonts w:ascii="Arial" w:hAnsi="Arial" w:cs="Arial"/>
          <w:color w:val="000000"/>
          <w:sz w:val="21"/>
          <w:szCs w:val="21"/>
        </w:rPr>
      </w:pPr>
      <w:proofErr w:type="spellStart"/>
      <w:r>
        <w:rPr>
          <w:rFonts w:ascii="Arial" w:hAnsi="Arial" w:cs="Arial"/>
          <w:color w:val="000000"/>
          <w:sz w:val="21"/>
          <w:szCs w:val="21"/>
        </w:rPr>
        <w:t>Зенцова</w:t>
      </w:r>
      <w:proofErr w:type="spellEnd"/>
      <w:r>
        <w:rPr>
          <w:rFonts w:ascii="Arial" w:hAnsi="Arial" w:cs="Arial"/>
          <w:color w:val="000000"/>
          <w:sz w:val="21"/>
          <w:szCs w:val="21"/>
        </w:rPr>
        <w:t xml:space="preserve"> Елена Викторовна, заместитель Директора департамента методологии, анализа и консалтинг</w:t>
      </w:r>
      <w:proofErr w:type="gramStart"/>
      <w:r>
        <w:rPr>
          <w:rFonts w:ascii="Arial" w:hAnsi="Arial" w:cs="Arial"/>
          <w:color w:val="000000"/>
          <w:sz w:val="21"/>
          <w:szCs w:val="21"/>
        </w:rPr>
        <w:t>а ООО</w:t>
      </w:r>
      <w:proofErr w:type="gramEnd"/>
      <w:r>
        <w:rPr>
          <w:rFonts w:ascii="Arial" w:hAnsi="Arial" w:cs="Arial"/>
          <w:color w:val="000000"/>
          <w:sz w:val="21"/>
          <w:szCs w:val="21"/>
        </w:rPr>
        <w:t xml:space="preserve"> «БФТ»</w:t>
      </w:r>
    </w:p>
    <w:p w:rsidR="003F7B6C" w:rsidRPr="005C566B" w:rsidRDefault="003F7B6C" w:rsidP="005C566B">
      <w:pPr>
        <w:rPr>
          <w:sz w:val="28"/>
          <w:szCs w:val="28"/>
        </w:rPr>
      </w:pPr>
    </w:p>
    <w:sectPr w:rsidR="003F7B6C" w:rsidRPr="005C56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D61B1"/>
    <w:multiLevelType w:val="multilevel"/>
    <w:tmpl w:val="FC446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A334F3E"/>
    <w:multiLevelType w:val="hybridMultilevel"/>
    <w:tmpl w:val="A1E8F3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AF7221A"/>
    <w:multiLevelType w:val="multilevel"/>
    <w:tmpl w:val="F698C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67319F3"/>
    <w:multiLevelType w:val="hybridMultilevel"/>
    <w:tmpl w:val="58C616C8"/>
    <w:lvl w:ilvl="0" w:tplc="0419000F">
      <w:start w:val="1"/>
      <w:numFmt w:val="decimal"/>
      <w:lvlText w:val="%1."/>
      <w:lvlJc w:val="left"/>
      <w:pPr>
        <w:ind w:left="1575" w:hanging="360"/>
      </w:pPr>
    </w:lvl>
    <w:lvl w:ilvl="1" w:tplc="04190019" w:tentative="1">
      <w:start w:val="1"/>
      <w:numFmt w:val="lowerLetter"/>
      <w:lvlText w:val="%2."/>
      <w:lvlJc w:val="left"/>
      <w:pPr>
        <w:ind w:left="2295" w:hanging="360"/>
      </w:pPr>
    </w:lvl>
    <w:lvl w:ilvl="2" w:tplc="0419001B" w:tentative="1">
      <w:start w:val="1"/>
      <w:numFmt w:val="lowerRoman"/>
      <w:lvlText w:val="%3."/>
      <w:lvlJc w:val="right"/>
      <w:pPr>
        <w:ind w:left="3015" w:hanging="180"/>
      </w:pPr>
    </w:lvl>
    <w:lvl w:ilvl="3" w:tplc="0419000F" w:tentative="1">
      <w:start w:val="1"/>
      <w:numFmt w:val="decimal"/>
      <w:lvlText w:val="%4."/>
      <w:lvlJc w:val="left"/>
      <w:pPr>
        <w:ind w:left="3735" w:hanging="360"/>
      </w:pPr>
    </w:lvl>
    <w:lvl w:ilvl="4" w:tplc="04190019" w:tentative="1">
      <w:start w:val="1"/>
      <w:numFmt w:val="lowerLetter"/>
      <w:lvlText w:val="%5."/>
      <w:lvlJc w:val="left"/>
      <w:pPr>
        <w:ind w:left="4455" w:hanging="360"/>
      </w:pPr>
    </w:lvl>
    <w:lvl w:ilvl="5" w:tplc="0419001B" w:tentative="1">
      <w:start w:val="1"/>
      <w:numFmt w:val="lowerRoman"/>
      <w:lvlText w:val="%6."/>
      <w:lvlJc w:val="right"/>
      <w:pPr>
        <w:ind w:left="5175" w:hanging="180"/>
      </w:pPr>
    </w:lvl>
    <w:lvl w:ilvl="6" w:tplc="0419000F" w:tentative="1">
      <w:start w:val="1"/>
      <w:numFmt w:val="decimal"/>
      <w:lvlText w:val="%7."/>
      <w:lvlJc w:val="left"/>
      <w:pPr>
        <w:ind w:left="5895" w:hanging="360"/>
      </w:pPr>
    </w:lvl>
    <w:lvl w:ilvl="7" w:tplc="04190019" w:tentative="1">
      <w:start w:val="1"/>
      <w:numFmt w:val="lowerLetter"/>
      <w:lvlText w:val="%8."/>
      <w:lvlJc w:val="left"/>
      <w:pPr>
        <w:ind w:left="6615" w:hanging="360"/>
      </w:pPr>
    </w:lvl>
    <w:lvl w:ilvl="8" w:tplc="0419001B" w:tentative="1">
      <w:start w:val="1"/>
      <w:numFmt w:val="lowerRoman"/>
      <w:lvlText w:val="%9."/>
      <w:lvlJc w:val="right"/>
      <w:pPr>
        <w:ind w:left="7335" w:hanging="180"/>
      </w:pPr>
    </w:lvl>
  </w:abstractNum>
  <w:abstractNum w:abstractNumId="4">
    <w:nsid w:val="418F4B4F"/>
    <w:multiLevelType w:val="multilevel"/>
    <w:tmpl w:val="D8AA8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B407A75"/>
    <w:multiLevelType w:val="multilevel"/>
    <w:tmpl w:val="75721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44867C3"/>
    <w:multiLevelType w:val="multilevel"/>
    <w:tmpl w:val="F5486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B192FA1"/>
    <w:multiLevelType w:val="hybridMultilevel"/>
    <w:tmpl w:val="BB10031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
  </w:num>
  <w:num w:numId="2">
    <w:abstractNumId w:val="1"/>
  </w:num>
  <w:num w:numId="3">
    <w:abstractNumId w:val="7"/>
  </w:num>
  <w:num w:numId="4">
    <w:abstractNumId w:val="4"/>
  </w:num>
  <w:num w:numId="5">
    <w:abstractNumId w:val="5"/>
  </w:num>
  <w:num w:numId="6">
    <w:abstractNumId w:val="6"/>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4FE"/>
    <w:rsid w:val="0001565F"/>
    <w:rsid w:val="00046E63"/>
    <w:rsid w:val="000A31D4"/>
    <w:rsid w:val="001D4FDF"/>
    <w:rsid w:val="001F03E3"/>
    <w:rsid w:val="00343E06"/>
    <w:rsid w:val="003B641A"/>
    <w:rsid w:val="003D0202"/>
    <w:rsid w:val="003F7B6C"/>
    <w:rsid w:val="004038EB"/>
    <w:rsid w:val="00526E6A"/>
    <w:rsid w:val="005C566B"/>
    <w:rsid w:val="005D7116"/>
    <w:rsid w:val="006C4013"/>
    <w:rsid w:val="007A1998"/>
    <w:rsid w:val="008373B3"/>
    <w:rsid w:val="008466CB"/>
    <w:rsid w:val="008C1AD5"/>
    <w:rsid w:val="00A26317"/>
    <w:rsid w:val="00A74B38"/>
    <w:rsid w:val="00C868FC"/>
    <w:rsid w:val="00D0072F"/>
    <w:rsid w:val="00D414FE"/>
    <w:rsid w:val="00D73144"/>
    <w:rsid w:val="00D82283"/>
    <w:rsid w:val="00D94C84"/>
    <w:rsid w:val="00DA3561"/>
    <w:rsid w:val="00DF60ED"/>
    <w:rsid w:val="00F460E6"/>
    <w:rsid w:val="00F54433"/>
    <w:rsid w:val="00F62CE6"/>
    <w:rsid w:val="00F87367"/>
    <w:rsid w:val="00F910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038EB"/>
    <w:pPr>
      <w:ind w:left="720"/>
      <w:contextualSpacing/>
    </w:pPr>
  </w:style>
  <w:style w:type="paragraph" w:styleId="a4">
    <w:name w:val="Balloon Text"/>
    <w:basedOn w:val="a"/>
    <w:link w:val="a5"/>
    <w:rsid w:val="000A31D4"/>
    <w:rPr>
      <w:rFonts w:ascii="Tahoma" w:hAnsi="Tahoma" w:cs="Tahoma"/>
      <w:sz w:val="16"/>
      <w:szCs w:val="16"/>
    </w:rPr>
  </w:style>
  <w:style w:type="character" w:customStyle="1" w:styleId="a5">
    <w:name w:val="Текст выноски Знак"/>
    <w:basedOn w:val="a0"/>
    <w:link w:val="a4"/>
    <w:rsid w:val="000A31D4"/>
    <w:rPr>
      <w:rFonts w:ascii="Tahoma" w:hAnsi="Tahoma" w:cs="Tahoma"/>
      <w:sz w:val="16"/>
      <w:szCs w:val="16"/>
    </w:rPr>
  </w:style>
  <w:style w:type="paragraph" w:styleId="a6">
    <w:name w:val="Normal (Web)"/>
    <w:basedOn w:val="a"/>
    <w:uiPriority w:val="99"/>
    <w:unhideWhenUsed/>
    <w:rsid w:val="005C566B"/>
    <w:pPr>
      <w:spacing w:before="100" w:beforeAutospacing="1" w:after="100" w:afterAutospacing="1"/>
    </w:pPr>
  </w:style>
  <w:style w:type="character" w:styleId="a7">
    <w:name w:val="Hyperlink"/>
    <w:basedOn w:val="a0"/>
    <w:uiPriority w:val="99"/>
    <w:unhideWhenUsed/>
    <w:rsid w:val="005C566B"/>
    <w:rPr>
      <w:color w:val="0000FF"/>
      <w:u w:val="single"/>
    </w:rPr>
  </w:style>
  <w:style w:type="character" w:styleId="a8">
    <w:name w:val="Strong"/>
    <w:basedOn w:val="a0"/>
    <w:uiPriority w:val="22"/>
    <w:qFormat/>
    <w:rsid w:val="005C566B"/>
    <w:rPr>
      <w:b/>
      <w:bCs/>
    </w:rPr>
  </w:style>
  <w:style w:type="character" w:styleId="a9">
    <w:name w:val="Emphasis"/>
    <w:basedOn w:val="a0"/>
    <w:uiPriority w:val="20"/>
    <w:qFormat/>
    <w:rsid w:val="005C566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038EB"/>
    <w:pPr>
      <w:ind w:left="720"/>
      <w:contextualSpacing/>
    </w:pPr>
  </w:style>
  <w:style w:type="paragraph" w:styleId="a4">
    <w:name w:val="Balloon Text"/>
    <w:basedOn w:val="a"/>
    <w:link w:val="a5"/>
    <w:rsid w:val="000A31D4"/>
    <w:rPr>
      <w:rFonts w:ascii="Tahoma" w:hAnsi="Tahoma" w:cs="Tahoma"/>
      <w:sz w:val="16"/>
      <w:szCs w:val="16"/>
    </w:rPr>
  </w:style>
  <w:style w:type="character" w:customStyle="1" w:styleId="a5">
    <w:name w:val="Текст выноски Знак"/>
    <w:basedOn w:val="a0"/>
    <w:link w:val="a4"/>
    <w:rsid w:val="000A31D4"/>
    <w:rPr>
      <w:rFonts w:ascii="Tahoma" w:hAnsi="Tahoma" w:cs="Tahoma"/>
      <w:sz w:val="16"/>
      <w:szCs w:val="16"/>
    </w:rPr>
  </w:style>
  <w:style w:type="paragraph" w:styleId="a6">
    <w:name w:val="Normal (Web)"/>
    <w:basedOn w:val="a"/>
    <w:uiPriority w:val="99"/>
    <w:unhideWhenUsed/>
    <w:rsid w:val="005C566B"/>
    <w:pPr>
      <w:spacing w:before="100" w:beforeAutospacing="1" w:after="100" w:afterAutospacing="1"/>
    </w:pPr>
  </w:style>
  <w:style w:type="character" w:styleId="a7">
    <w:name w:val="Hyperlink"/>
    <w:basedOn w:val="a0"/>
    <w:uiPriority w:val="99"/>
    <w:unhideWhenUsed/>
    <w:rsid w:val="005C566B"/>
    <w:rPr>
      <w:color w:val="0000FF"/>
      <w:u w:val="single"/>
    </w:rPr>
  </w:style>
  <w:style w:type="character" w:styleId="a8">
    <w:name w:val="Strong"/>
    <w:basedOn w:val="a0"/>
    <w:uiPriority w:val="22"/>
    <w:qFormat/>
    <w:rsid w:val="005C566B"/>
    <w:rPr>
      <w:b/>
      <w:bCs/>
    </w:rPr>
  </w:style>
  <w:style w:type="character" w:styleId="a9">
    <w:name w:val="Emphasis"/>
    <w:basedOn w:val="a0"/>
    <w:uiPriority w:val="20"/>
    <w:qFormat/>
    <w:rsid w:val="005C566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868450">
      <w:bodyDiv w:val="1"/>
      <w:marLeft w:val="0"/>
      <w:marRight w:val="0"/>
      <w:marTop w:val="0"/>
      <w:marBottom w:val="0"/>
      <w:divBdr>
        <w:top w:val="none" w:sz="0" w:space="0" w:color="auto"/>
        <w:left w:val="none" w:sz="0" w:space="0" w:color="auto"/>
        <w:bottom w:val="none" w:sz="0" w:space="0" w:color="auto"/>
        <w:right w:val="none" w:sz="0" w:space="0" w:color="auto"/>
      </w:divBdr>
      <w:divsChild>
        <w:div w:id="71661808">
          <w:marLeft w:val="0"/>
          <w:marRight w:val="0"/>
          <w:marTop w:val="0"/>
          <w:marBottom w:val="0"/>
          <w:divBdr>
            <w:top w:val="none" w:sz="0" w:space="0" w:color="auto"/>
            <w:left w:val="none" w:sz="0" w:space="0" w:color="auto"/>
            <w:bottom w:val="none" w:sz="0" w:space="0" w:color="auto"/>
            <w:right w:val="none" w:sz="0" w:space="0" w:color="auto"/>
          </w:divBdr>
          <w:divsChild>
            <w:div w:id="90589346">
              <w:marLeft w:val="0"/>
              <w:marRight w:val="0"/>
              <w:marTop w:val="0"/>
              <w:marBottom w:val="750"/>
              <w:divBdr>
                <w:top w:val="none" w:sz="0" w:space="0" w:color="auto"/>
                <w:left w:val="none" w:sz="0" w:space="0" w:color="auto"/>
                <w:bottom w:val="none" w:sz="0" w:space="0" w:color="auto"/>
                <w:right w:val="none" w:sz="0" w:space="0" w:color="auto"/>
              </w:divBdr>
            </w:div>
          </w:divsChild>
        </w:div>
        <w:div w:id="1097022727">
          <w:marLeft w:val="0"/>
          <w:marRight w:val="0"/>
          <w:marTop w:val="0"/>
          <w:marBottom w:val="0"/>
          <w:divBdr>
            <w:top w:val="none" w:sz="0" w:space="0" w:color="auto"/>
            <w:left w:val="none" w:sz="0" w:space="0" w:color="auto"/>
            <w:bottom w:val="none" w:sz="0" w:space="0" w:color="auto"/>
            <w:right w:val="none" w:sz="0" w:space="0" w:color="auto"/>
          </w:divBdr>
          <w:divsChild>
            <w:div w:id="515508826">
              <w:marLeft w:val="0"/>
              <w:marRight w:val="0"/>
              <w:marTop w:val="0"/>
              <w:marBottom w:val="0"/>
              <w:divBdr>
                <w:top w:val="none" w:sz="0" w:space="0" w:color="auto"/>
                <w:left w:val="none" w:sz="0" w:space="0" w:color="auto"/>
                <w:bottom w:val="none" w:sz="0" w:space="0" w:color="auto"/>
                <w:right w:val="none" w:sz="0" w:space="0" w:color="auto"/>
              </w:divBdr>
              <w:divsChild>
                <w:div w:id="1127745294">
                  <w:marLeft w:val="0"/>
                  <w:marRight w:val="0"/>
                  <w:marTop w:val="0"/>
                  <w:marBottom w:val="0"/>
                  <w:divBdr>
                    <w:top w:val="none" w:sz="0" w:space="0" w:color="auto"/>
                    <w:left w:val="none" w:sz="0" w:space="0" w:color="auto"/>
                    <w:bottom w:val="none" w:sz="0" w:space="0" w:color="auto"/>
                    <w:right w:val="none" w:sz="0" w:space="0" w:color="auto"/>
                  </w:divBdr>
                </w:div>
                <w:div w:id="694891454">
                  <w:marLeft w:val="0"/>
                  <w:marRight w:val="0"/>
                  <w:marTop w:val="0"/>
                  <w:marBottom w:val="0"/>
                  <w:divBdr>
                    <w:top w:val="none" w:sz="0" w:space="0" w:color="auto"/>
                    <w:left w:val="none" w:sz="0" w:space="0" w:color="auto"/>
                    <w:bottom w:val="none" w:sz="0" w:space="0" w:color="auto"/>
                    <w:right w:val="none" w:sz="0" w:space="0" w:color="auto"/>
                  </w:divBdr>
                </w:div>
              </w:divsChild>
            </w:div>
            <w:div w:id="1735547468">
              <w:marLeft w:val="0"/>
              <w:marRight w:val="0"/>
              <w:marTop w:val="0"/>
              <w:marBottom w:val="0"/>
              <w:divBdr>
                <w:top w:val="none" w:sz="0" w:space="0" w:color="auto"/>
                <w:left w:val="none" w:sz="0" w:space="0" w:color="auto"/>
                <w:bottom w:val="none" w:sz="0" w:space="0" w:color="auto"/>
                <w:right w:val="none" w:sz="0" w:space="0" w:color="auto"/>
              </w:divBdr>
              <w:divsChild>
                <w:div w:id="682315666">
                  <w:marLeft w:val="0"/>
                  <w:marRight w:val="0"/>
                  <w:marTop w:val="0"/>
                  <w:marBottom w:val="0"/>
                  <w:divBdr>
                    <w:top w:val="none" w:sz="0" w:space="0" w:color="auto"/>
                    <w:left w:val="none" w:sz="0" w:space="0" w:color="auto"/>
                    <w:bottom w:val="none" w:sz="0" w:space="0" w:color="auto"/>
                    <w:right w:val="none" w:sz="0" w:space="0" w:color="auto"/>
                  </w:divBdr>
                </w:div>
                <w:div w:id="1664550782">
                  <w:marLeft w:val="0"/>
                  <w:marRight w:val="0"/>
                  <w:marTop w:val="0"/>
                  <w:marBottom w:val="0"/>
                  <w:divBdr>
                    <w:top w:val="none" w:sz="0" w:space="0" w:color="auto"/>
                    <w:left w:val="none" w:sz="0" w:space="0" w:color="auto"/>
                    <w:bottom w:val="none" w:sz="0" w:space="0" w:color="auto"/>
                    <w:right w:val="none" w:sz="0" w:space="0" w:color="auto"/>
                  </w:divBdr>
                  <w:divsChild>
                    <w:div w:id="1716193360">
                      <w:marLeft w:val="0"/>
                      <w:marRight w:val="0"/>
                      <w:marTop w:val="375"/>
                      <w:marBottom w:val="0"/>
                      <w:divBdr>
                        <w:top w:val="none" w:sz="0" w:space="0" w:color="auto"/>
                        <w:left w:val="none" w:sz="0" w:space="0" w:color="auto"/>
                        <w:bottom w:val="none" w:sz="0" w:space="0" w:color="auto"/>
                        <w:right w:val="none" w:sz="0" w:space="0" w:color="auto"/>
                      </w:divBdr>
                      <w:divsChild>
                        <w:div w:id="717322661">
                          <w:marLeft w:val="0"/>
                          <w:marRight w:val="0"/>
                          <w:marTop w:val="0"/>
                          <w:marBottom w:val="0"/>
                          <w:divBdr>
                            <w:top w:val="none" w:sz="0" w:space="0" w:color="auto"/>
                            <w:left w:val="none" w:sz="0" w:space="0" w:color="auto"/>
                            <w:bottom w:val="none" w:sz="0" w:space="0" w:color="auto"/>
                            <w:right w:val="none" w:sz="0" w:space="0" w:color="auto"/>
                          </w:divBdr>
                          <w:divsChild>
                            <w:div w:id="1733889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2514550">
          <w:marLeft w:val="0"/>
          <w:marRight w:val="0"/>
          <w:marTop w:val="0"/>
          <w:marBottom w:val="0"/>
          <w:divBdr>
            <w:top w:val="none" w:sz="0" w:space="0" w:color="auto"/>
            <w:left w:val="none" w:sz="0" w:space="0" w:color="auto"/>
            <w:bottom w:val="none" w:sz="0" w:space="0" w:color="auto"/>
            <w:right w:val="none" w:sz="0" w:space="0" w:color="auto"/>
          </w:divBdr>
          <w:divsChild>
            <w:div w:id="1616446276">
              <w:marLeft w:val="0"/>
              <w:marRight w:val="0"/>
              <w:marTop w:val="750"/>
              <w:marBottom w:val="0"/>
              <w:divBdr>
                <w:top w:val="none" w:sz="0" w:space="0" w:color="auto"/>
                <w:left w:val="none" w:sz="0" w:space="0" w:color="auto"/>
                <w:bottom w:val="none" w:sz="0" w:space="0" w:color="auto"/>
                <w:right w:val="none" w:sz="0" w:space="0" w:color="auto"/>
              </w:divBdr>
            </w:div>
            <w:div w:id="1774781442">
              <w:marLeft w:val="0"/>
              <w:marRight w:val="0"/>
              <w:marTop w:val="75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ftcom.com/expert-bft/22355/" TargetMode="External"/><Relationship Id="rId3" Type="http://schemas.microsoft.com/office/2007/relationships/stylesWithEffects" Target="stylesWithEffects.xml"/><Relationship Id="rId7" Type="http://schemas.openxmlformats.org/officeDocument/2006/relationships/hyperlink" Target="https://bftcom.com/expert-bft/expert_lis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bftcom.com/newspictures/%D0%9F%D0%BE%D0%BB%D0%BD%D0%BE%D0%BC%D0%BE%D1%87%D0%B8%D1%8F%20%D0%A4%D0%9E%20%D0%BF%D0%BE%20%D0%BA%D0%B0%D0%B7%D0%BD%D0%B0%D1%87%20%D1%81%D0%BE%D0%BF%D1%80%D0%BE%D0%B2%D0%BE%D0%B6%D0%B4%D0%B5%D0%BD%D0%B8%D1%8E%20%D1%81%2001.01.22_%D0%9C%D0%A4%20%D0%A0%D0%A4_%D0%A2.%D0%92.%20%D0%A1%D0%B0%D0%B0%D0%BA%D1%8F%D0%BD_16.07.2021.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394</TotalTime>
  <Pages>7</Pages>
  <Words>1736</Words>
  <Characters>13407</Characters>
  <Application>Microsoft Office Word</Application>
  <DocSecurity>0</DocSecurity>
  <Lines>111</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buh2</dc:creator>
  <cp:keywords/>
  <dc:description/>
  <cp:lastModifiedBy>buh2</cp:lastModifiedBy>
  <cp:revision>10</cp:revision>
  <cp:lastPrinted>2021-12-10T06:53:00Z</cp:lastPrinted>
  <dcterms:created xsi:type="dcterms:W3CDTF">2021-12-08T07:33:00Z</dcterms:created>
  <dcterms:modified xsi:type="dcterms:W3CDTF">2021-12-10T07:27:00Z</dcterms:modified>
</cp:coreProperties>
</file>